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Überschrift"/>
      </w:pPr>
      <w:r>
        <w:rPr>
          <w:rtl w:val="0"/>
          <w:lang w:val="en-US"/>
        </w:rPr>
        <w:t xml:space="preserve">Style sheet for </w:t>
      </w:r>
      <w:r>
        <w:rPr>
          <w:rFonts w:ascii="Calibri" w:hAnsi="Calibri"/>
          <w:i w:val="1"/>
          <w:iCs w:val="1"/>
          <w:rtl w:val="0"/>
          <w:lang w:val="de-DE"/>
        </w:rPr>
        <w:t>Wittgenstein and Classical German Philosophy</w:t>
      </w:r>
    </w:p>
    <w:p>
      <w:pPr>
        <w:pStyle w:val="Text"/>
        <w:rPr>
          <w:lang w:val="de-DE"/>
        </w:rPr>
      </w:pPr>
      <w:r>
        <w:rPr>
          <w:rtl w:val="0"/>
          <w:lang w:val="de-DE"/>
        </w:rPr>
        <w:t>U</w:t>
      </w:r>
      <w:r>
        <w:rPr>
          <w:rtl w:val="0"/>
          <w:lang w:val="de-DE"/>
        </w:rPr>
        <w:t xml:space="preserve">p-to-date: </w:t>
      </w:r>
      <w:r>
        <w:rPr>
          <w:rtl w:val="0"/>
          <w:lang w:val="de-DE"/>
        </w:rPr>
        <w:t>18</w:t>
      </w:r>
      <w:r>
        <w:rPr>
          <w:rtl w:val="0"/>
        </w:rPr>
        <w:t>.</w:t>
      </w:r>
      <w:r>
        <w:rPr>
          <w:rtl w:val="0"/>
          <w:lang w:val="de-DE"/>
        </w:rPr>
        <w:t>02</w:t>
      </w:r>
      <w:r>
        <w:rPr>
          <w:rtl w:val="0"/>
        </w:rPr>
        <w:t>.20</w:t>
      </w:r>
      <w:r>
        <w:rPr>
          <w:rtl w:val="0"/>
          <w:lang w:val="de-DE"/>
        </w:rPr>
        <w:t>20</w:t>
      </w:r>
    </w:p>
    <w:p>
      <w:pPr>
        <w:pStyle w:val="Text"/>
      </w:pPr>
    </w:p>
    <w:p>
      <w:pPr>
        <w:pStyle w:val="Überschrift 2"/>
      </w:pPr>
      <w:r>
        <w:rPr>
          <w:rtl w:val="0"/>
          <w:lang w:val="en-US"/>
        </w:rPr>
        <w:t>General information</w:t>
      </w:r>
    </w:p>
    <w:p>
      <w:pPr>
        <w:pStyle w:val="List Paragraph"/>
        <w:numPr>
          <w:ilvl w:val="0"/>
          <w:numId w:val="2"/>
        </w:numPr>
        <w:rPr>
          <w:lang w:val="en-US"/>
        </w:rPr>
      </w:pPr>
      <w:r>
        <w:rPr>
          <w:rtl w:val="0"/>
          <w:lang w:val="en-US"/>
        </w:rPr>
        <w:t xml:space="preserve">The manuscript will be submitted to the series </w:t>
      </w:r>
      <w:r>
        <w:rPr>
          <w:rStyle w:val="Hyperlink.0"/>
        </w:rPr>
        <w:fldChar w:fldCharType="begin" w:fldLock="0"/>
      </w:r>
      <w:r>
        <w:rPr>
          <w:rStyle w:val="Hyperlink.0"/>
        </w:rPr>
        <w:instrText xml:space="preserve"> HYPERLINK "https://www.degruyter.com/view/serial/182356"</w:instrText>
      </w:r>
      <w:r>
        <w:rPr>
          <w:rStyle w:val="Hyperlink.0"/>
        </w:rPr>
        <w:fldChar w:fldCharType="separate" w:fldLock="0"/>
      </w:r>
      <w:r>
        <w:rPr>
          <w:rStyle w:val="Hyperlink.0"/>
          <w:rtl w:val="0"/>
          <w:lang w:val="en-US"/>
        </w:rPr>
        <w:t>On Wittgenstein</w:t>
      </w:r>
      <w:r>
        <w:rPr/>
        <w:fldChar w:fldCharType="end" w:fldLock="0"/>
      </w:r>
      <w:r>
        <w:rPr>
          <w:rStyle w:val="Ohne"/>
          <w:rtl w:val="0"/>
          <w:lang w:val="en-US"/>
        </w:rPr>
        <w:t xml:space="preserve"> published by De Gruyter on behalf of Internationale Ludwig Wittgenstein Gesellschaft. Editors will be Alexander Berg (Dresden) and Den</w:t>
      </w:r>
      <w:r>
        <w:rPr>
          <w:rStyle w:val="Ohne"/>
          <w:rtl w:val="0"/>
          <w:lang w:val="de-DE"/>
        </w:rPr>
        <w:t>y</w:t>
      </w:r>
      <w:r>
        <w:rPr>
          <w:rStyle w:val="Ohne"/>
          <w:rtl w:val="0"/>
          <w:lang w:val="en-US"/>
        </w:rPr>
        <w:t>s Kaidalov (Warsaw).</w:t>
      </w:r>
    </w:p>
    <w:p>
      <w:pPr>
        <w:pStyle w:val="List Paragraph"/>
        <w:numPr>
          <w:ilvl w:val="0"/>
          <w:numId w:val="2"/>
        </w:numPr>
        <w:rPr>
          <w:lang w:val="en-US"/>
        </w:rPr>
      </w:pPr>
      <w:r>
        <w:rPr>
          <w:rStyle w:val="Ohne"/>
          <w:rtl w:val="0"/>
          <w:lang w:val="en-US"/>
        </w:rPr>
        <w:t>The contribution should be about</w:t>
      </w:r>
      <w:r>
        <w:rPr>
          <w:rStyle w:val="Ohne"/>
          <w:b w:val="1"/>
          <w:bCs w:val="1"/>
          <w:rtl w:val="0"/>
          <w:lang w:val="en-US"/>
        </w:rPr>
        <w:t xml:space="preserve"> 8000 words</w:t>
      </w:r>
      <w:r>
        <w:rPr>
          <w:rStyle w:val="Ohne"/>
          <w:rtl w:val="0"/>
          <w:lang w:val="en-US"/>
        </w:rPr>
        <w:t xml:space="preserve">, and reach the editors by the </w:t>
      </w:r>
      <w:r>
        <w:rPr>
          <w:rStyle w:val="Ohne"/>
          <w:b w:val="1"/>
          <w:bCs w:val="1"/>
          <w:rtl w:val="0"/>
          <w:lang w:val="en-US"/>
        </w:rPr>
        <w:t>end of July 2020</w:t>
      </w:r>
      <w:r>
        <w:rPr>
          <w:rStyle w:val="Ohne"/>
          <w:rtl w:val="0"/>
          <w:lang w:val="en-US"/>
        </w:rPr>
        <w:t>.</w:t>
      </w:r>
    </w:p>
    <w:p>
      <w:pPr>
        <w:pStyle w:val="List Paragraph"/>
        <w:numPr>
          <w:ilvl w:val="0"/>
          <w:numId w:val="2"/>
        </w:numPr>
        <w:rPr>
          <w:lang w:val="en-US"/>
        </w:rPr>
      </w:pPr>
      <w:r>
        <w:rPr>
          <w:rStyle w:val="Ohne"/>
          <w:rtl w:val="0"/>
          <w:lang w:val="en-US"/>
        </w:rPr>
        <w:t xml:space="preserve">Each contribution will undergo a </w:t>
      </w:r>
      <w:r>
        <w:rPr>
          <w:rStyle w:val="Ohne"/>
          <w:b w:val="1"/>
          <w:bCs w:val="1"/>
          <w:rtl w:val="0"/>
          <w:lang w:val="en-US"/>
        </w:rPr>
        <w:t>review process</w:t>
      </w:r>
      <w:r>
        <w:rPr>
          <w:rStyle w:val="Ohne"/>
          <w:rtl w:val="0"/>
          <w:lang w:val="en-US"/>
        </w:rPr>
        <w:t xml:space="preserve"> managed by the editors and the publisher, which might result in  rejecting some contributions or you may be asked to revise your contribution.</w:t>
      </w:r>
    </w:p>
    <w:p>
      <w:pPr>
        <w:pStyle w:val="List Paragraph"/>
        <w:numPr>
          <w:ilvl w:val="0"/>
          <w:numId w:val="2"/>
        </w:numPr>
        <w:rPr>
          <w:lang w:val="en-US"/>
        </w:rPr>
      </w:pPr>
      <w:r>
        <w:rPr>
          <w:rStyle w:val="Ohne"/>
          <w:rtl w:val="0"/>
          <w:lang w:val="en-US"/>
        </w:rPr>
        <w:t xml:space="preserve">In order to improve the quality of the volume, the editors will organize an internal single blind review. Viz. in August and September contributors will be kindly asked to read and comment on one or two another contributions. </w:t>
      </w:r>
    </w:p>
    <w:p>
      <w:pPr>
        <w:pStyle w:val="List Paragraph"/>
        <w:numPr>
          <w:ilvl w:val="0"/>
          <w:numId w:val="2"/>
        </w:numPr>
        <w:rPr>
          <w:lang w:val="en-US"/>
        </w:rPr>
      </w:pPr>
      <w:r>
        <w:rPr>
          <w:rStyle w:val="Ohne"/>
          <w:rtl w:val="0"/>
          <w:lang w:val="en-US"/>
        </w:rPr>
        <w:t>These comments can then be implemented</w:t>
      </w:r>
      <w:r>
        <w:rPr>
          <w:rStyle w:val="Ohne"/>
          <w:rtl w:val="0"/>
          <w:lang w:val="de-DE"/>
        </w:rPr>
        <w:t xml:space="preserve"> </w:t>
      </w:r>
      <w:r>
        <w:rPr>
          <w:rStyle w:val="Ohne"/>
          <w:rtl w:val="0"/>
          <w:lang w:val="en-US"/>
        </w:rPr>
        <w:t xml:space="preserve">by the authors in October so that the volume can be completed by the editors and reviewed by the ILWG in December. De Gruyter would then prepare the galley proof (for final corrections) and the volume could be presented in time at a further </w:t>
      </w:r>
      <w:r>
        <w:rPr>
          <w:rStyle w:val="Ohne"/>
          <w:b w:val="1"/>
          <w:bCs w:val="1"/>
          <w:rtl w:val="0"/>
          <w:lang w:val="en-US"/>
        </w:rPr>
        <w:t>„</w:t>
      </w:r>
      <w:r>
        <w:rPr>
          <w:rStyle w:val="Ohne"/>
          <w:b w:val="1"/>
          <w:bCs w:val="1"/>
          <w:rtl w:val="0"/>
          <w:lang w:val="en-US"/>
        </w:rPr>
        <w:t>Wittgenstein and Classical German Philosophy</w:t>
      </w:r>
      <w:r>
        <w:rPr>
          <w:rStyle w:val="Ohne"/>
          <w:b w:val="1"/>
          <w:bCs w:val="1"/>
          <w:rtl w:val="0"/>
          <w:lang w:val="en-US"/>
        </w:rPr>
        <w:t>“</w:t>
      </w:r>
      <w:r>
        <w:rPr>
          <w:rStyle w:val="Ohne"/>
          <w:b w:val="1"/>
          <w:bCs w:val="1"/>
          <w:rtl w:val="0"/>
          <w:lang w:val="de-DE"/>
        </w:rPr>
        <w:t xml:space="preserve">- </w:t>
      </w:r>
      <w:r>
        <w:rPr>
          <w:rStyle w:val="Ohne"/>
          <w:b w:val="1"/>
          <w:bCs w:val="1"/>
          <w:rtl w:val="0"/>
          <w:lang w:val="en-US"/>
        </w:rPr>
        <w:t>event in Warsaw in June 2021</w:t>
      </w:r>
      <w:r>
        <w:rPr>
          <w:rStyle w:val="Ohne"/>
          <w:rtl w:val="0"/>
          <w:lang w:val="en-US"/>
        </w:rPr>
        <w:t>.</w:t>
      </w:r>
    </w:p>
    <w:p>
      <w:pPr>
        <w:pStyle w:val="List Paragraph"/>
        <w:numPr>
          <w:ilvl w:val="0"/>
          <w:numId w:val="2"/>
        </w:numPr>
        <w:rPr>
          <w:lang w:val="en-US"/>
        </w:rPr>
      </w:pPr>
      <w:r>
        <w:rPr>
          <w:rStyle w:val="Ohne"/>
          <w:rtl w:val="0"/>
          <w:lang w:val="en-US"/>
        </w:rPr>
        <w:t xml:space="preserve">We strongly advise you to let your text </w:t>
      </w:r>
      <w:r>
        <w:rPr>
          <w:rStyle w:val="Ohne"/>
          <w:b w:val="1"/>
          <w:bCs w:val="1"/>
          <w:rtl w:val="0"/>
          <w:lang w:val="en-US"/>
        </w:rPr>
        <w:t>proofread by a native speaker/professional proofreader</w:t>
      </w:r>
      <w:r>
        <w:rPr>
          <w:rStyle w:val="Ohne"/>
          <w:rtl w:val="0"/>
          <w:lang w:val="en-US"/>
        </w:rPr>
        <w:t>. If you don</w:t>
      </w:r>
      <w:r>
        <w:rPr>
          <w:rStyle w:val="Ohne"/>
          <w:rtl w:val="0"/>
          <w:lang w:val="en-US"/>
        </w:rPr>
        <w:t>’</w:t>
      </w:r>
      <w:r>
        <w:rPr>
          <w:rStyle w:val="Ohne"/>
          <w:rtl w:val="0"/>
          <w:lang w:val="en-US"/>
        </w:rPr>
        <w:t>t know any, ask the editors for a suggestion.</w:t>
      </w:r>
    </w:p>
    <w:p>
      <w:pPr>
        <w:pStyle w:val="List Paragraph"/>
        <w:numPr>
          <w:ilvl w:val="0"/>
          <w:numId w:val="2"/>
        </w:numPr>
        <w:rPr>
          <w:lang w:val="en-US"/>
        </w:rPr>
      </w:pPr>
      <w:r>
        <w:rPr>
          <w:rStyle w:val="Ohne"/>
          <w:rtl w:val="0"/>
          <w:lang w:val="en-US"/>
        </w:rPr>
        <w:t xml:space="preserve">The use of </w:t>
      </w:r>
      <w:r>
        <w:rPr>
          <w:rStyle w:val="Ohne"/>
          <w:b w:val="1"/>
          <w:bCs w:val="1"/>
          <w:rtl w:val="0"/>
          <w:lang w:val="en-US"/>
        </w:rPr>
        <w:t xml:space="preserve">copyrighted </w:t>
      </w:r>
      <w:r>
        <w:rPr>
          <w:rStyle w:val="Ohne"/>
          <w:rtl w:val="0"/>
          <w:lang w:val="en-US"/>
        </w:rPr>
        <w:t>material</w:t>
      </w:r>
      <w:r>
        <w:rPr>
          <w:rStyle w:val="Ohne"/>
          <w:rtl w:val="0"/>
          <w:lang w:val="de-DE"/>
        </w:rPr>
        <w:t xml:space="preserve"> </w:t>
      </w:r>
      <w:r>
        <w:rPr>
          <w:rStyle w:val="Ohne"/>
          <w:rtl w:val="0"/>
          <w:lang w:val="en-US"/>
        </w:rPr>
        <w:t>can cause additional costs. Quotations from works of art (poetry, literature, painting), epigraphs, quotations in headings aren</w:t>
      </w:r>
      <w:r>
        <w:rPr>
          <w:rStyle w:val="Ohne"/>
          <w:rtl w:val="0"/>
          <w:lang w:val="en-US"/>
        </w:rPr>
        <w:t>’</w:t>
      </w:r>
      <w:r>
        <w:rPr>
          <w:rStyle w:val="Ohne"/>
          <w:rtl w:val="0"/>
          <w:lang w:val="en-US"/>
        </w:rPr>
        <w:t>t generally considered as fair use. If you intend to use such a material, please contact the editors.</w:t>
      </w:r>
    </w:p>
    <w:p>
      <w:pPr>
        <w:pStyle w:val="List Paragraph"/>
        <w:numPr>
          <w:ilvl w:val="0"/>
          <w:numId w:val="2"/>
        </w:numPr>
        <w:rPr>
          <w:lang w:val="en-US"/>
        </w:rPr>
      </w:pPr>
      <w:r>
        <w:rPr>
          <w:rStyle w:val="Ohne"/>
          <w:rtl w:val="0"/>
          <w:lang w:val="en-US"/>
        </w:rPr>
        <w:t xml:space="preserve">The volume follows the edition </w:t>
      </w:r>
      <w:r>
        <w:rPr>
          <w:rStyle w:val="Ohne"/>
          <w:b w:val="1"/>
          <w:bCs w:val="1"/>
          <w:rtl w:val="0"/>
          <w:lang w:val="de-DE"/>
        </w:rPr>
        <w:t>„</w:t>
      </w:r>
      <w:r>
        <w:rPr>
          <w:rStyle w:val="Ohne"/>
          <w:b w:val="1"/>
          <w:bCs w:val="1"/>
          <w:rtl w:val="0"/>
          <w:lang w:val="en-US"/>
        </w:rPr>
        <w:t xml:space="preserve">Wittgenstein and Hegel </w:t>
      </w:r>
      <w:r>
        <w:rPr>
          <w:rStyle w:val="Ohne"/>
          <w:b w:val="1"/>
          <w:bCs w:val="1"/>
          <w:rtl w:val="0"/>
          <w:lang w:val="en-US"/>
        </w:rPr>
        <w:t>– </w:t>
      </w:r>
      <w:r>
        <w:rPr>
          <w:rStyle w:val="Ohne"/>
          <w:b w:val="1"/>
          <w:bCs w:val="1"/>
          <w:rtl w:val="0"/>
          <w:lang w:val="en-US"/>
        </w:rPr>
        <w:t>Reevaluation of Difference</w:t>
      </w:r>
      <w:r>
        <w:rPr>
          <w:rStyle w:val="Ohne"/>
          <w:b w:val="1"/>
          <w:bCs w:val="1"/>
          <w:rtl w:val="0"/>
          <w:lang w:val="de-DE"/>
        </w:rPr>
        <w:t>“</w:t>
      </w:r>
      <w:r>
        <w:rPr>
          <w:rStyle w:val="Ohne"/>
          <w:rtl w:val="0"/>
          <w:lang w:val="en-US"/>
        </w:rPr>
        <w:t>,</w:t>
      </w:r>
      <w:r>
        <w:rPr>
          <w:rStyle w:val="Ohne"/>
          <w:rtl w:val="0"/>
          <w:lang w:val="en-US"/>
        </w:rPr>
        <w:t> </w:t>
      </w:r>
      <w:r>
        <w:rPr>
          <w:rStyle w:val="Ohne"/>
          <w:rtl w:val="0"/>
          <w:lang w:val="en-US"/>
        </w:rPr>
        <w:t>M</w:t>
      </w:r>
      <w:r>
        <w:rPr>
          <w:rStyle w:val="Ohne"/>
          <w:rtl w:val="0"/>
          <w:lang w:val="en-US"/>
        </w:rPr>
        <w:t>á</w:t>
      </w:r>
      <w:r>
        <w:rPr>
          <w:rStyle w:val="Ohne"/>
          <w:rtl w:val="0"/>
          <w:lang w:val="en-US"/>
        </w:rPr>
        <w:t>cha, Jakub / Berg, Alexander (Ed.), [in the series: On Wittgenstein (5), De Gruyter, Berlin / New York June 2019</w:t>
      </w:r>
      <w:r>
        <w:rPr>
          <w:rStyle w:val="Ohne"/>
          <w:rtl w:val="0"/>
          <w:lang w:val="de-DE"/>
        </w:rPr>
        <w:t xml:space="preserve">  </w:t>
      </w:r>
      <w:r>
        <w:rPr>
          <w:rStyle w:val="Hyperlink.1"/>
        </w:rPr>
        <w:fldChar w:fldCharType="begin" w:fldLock="0"/>
      </w:r>
      <w:r>
        <w:rPr>
          <w:rStyle w:val="Hyperlink.1"/>
        </w:rPr>
        <w:instrText xml:space="preserve"> HYPERLINK "https://www.degruyter.com/viewbooktoc/product/496759"</w:instrText>
      </w:r>
      <w:r>
        <w:rPr>
          <w:rStyle w:val="Hyperlink.1"/>
        </w:rPr>
        <w:fldChar w:fldCharType="separate" w:fldLock="0"/>
      </w:r>
      <w:r>
        <w:rPr>
          <w:rStyle w:val="Hyperlink.1"/>
          <w:rtl w:val="0"/>
          <w:lang w:val="en-US"/>
        </w:rPr>
        <w:t>https://www.degruyter.com/viewbooktoc/product/496759</w:t>
      </w:r>
      <w:r>
        <w:rPr/>
        <w:fldChar w:fldCharType="end" w:fldLock="0"/>
      </w:r>
    </w:p>
    <w:p>
      <w:pPr>
        <w:pStyle w:val="List Paragraph"/>
        <w:ind w:left="0" w:firstLine="0"/>
      </w:pPr>
    </w:p>
    <w:p>
      <w:pPr>
        <w:pStyle w:val="Überschrift 2"/>
      </w:pPr>
      <w:r>
        <w:rPr>
          <w:rStyle w:val="Ohne"/>
          <w:rtl w:val="0"/>
          <w:lang w:val="da-DK"/>
        </w:rPr>
        <w:t>Spelling</w:t>
      </w:r>
    </w:p>
    <w:p>
      <w:pPr>
        <w:pStyle w:val="List Paragraph"/>
        <w:numPr>
          <w:ilvl w:val="0"/>
          <w:numId w:val="4"/>
        </w:numPr>
        <w:rPr>
          <w:lang w:val="en-US"/>
        </w:rPr>
      </w:pPr>
      <w:r>
        <w:rPr>
          <w:rStyle w:val="Ohne"/>
          <w:rtl w:val="0"/>
          <w:lang w:val="en-US"/>
        </w:rPr>
        <w:t xml:space="preserve">The language of the volume is </w:t>
      </w:r>
      <w:r>
        <w:rPr>
          <w:rStyle w:val="Ohne"/>
          <w:b w:val="1"/>
          <w:bCs w:val="1"/>
          <w:rtl w:val="0"/>
          <w:lang w:val="en-US"/>
        </w:rPr>
        <w:t>English</w:t>
      </w:r>
      <w:r>
        <w:rPr>
          <w:rStyle w:val="Ohne"/>
          <w:rtl w:val="0"/>
          <w:lang w:val="en-US"/>
        </w:rPr>
        <w:t>.</w:t>
      </w:r>
    </w:p>
    <w:p>
      <w:pPr>
        <w:pStyle w:val="List Paragraph"/>
        <w:numPr>
          <w:ilvl w:val="0"/>
          <w:numId w:val="4"/>
        </w:numPr>
        <w:rPr>
          <w:lang w:val="en-US"/>
        </w:rPr>
      </w:pPr>
      <w:r>
        <w:rPr>
          <w:rStyle w:val="Ohne"/>
          <w:rtl w:val="0"/>
          <w:lang w:val="en-US"/>
        </w:rPr>
        <w:t xml:space="preserve">Spelling, usages and punctuation should be </w:t>
      </w:r>
      <w:r>
        <w:rPr>
          <w:rStyle w:val="Ohne"/>
          <w:b w:val="1"/>
          <w:bCs w:val="1"/>
          <w:rtl w:val="0"/>
          <w:lang w:val="en-US"/>
        </w:rPr>
        <w:t>consistently either English or American</w:t>
      </w:r>
      <w:r>
        <w:rPr>
          <w:rStyle w:val="Ohne"/>
          <w:rtl w:val="0"/>
          <w:lang w:val="en-US"/>
        </w:rPr>
        <w:t xml:space="preserve">. </w:t>
      </w:r>
      <w:r>
        <w:rPr>
          <w:rStyle w:val="Ohne"/>
          <w:rtl w:val="0"/>
          <w:lang w:val="en-US"/>
        </w:rPr>
        <w:t>“</w:t>
      </w:r>
      <w:r>
        <w:rPr>
          <w:rStyle w:val="Ohne"/>
          <w:rtl w:val="0"/>
          <w:lang w:val="en-US"/>
        </w:rPr>
        <w:t>Billion</w:t>
      </w:r>
      <w:r>
        <w:rPr>
          <w:rStyle w:val="Ohne"/>
          <w:rtl w:val="0"/>
          <w:lang w:val="en-US"/>
        </w:rPr>
        <w:t xml:space="preserve">” </w:t>
      </w:r>
      <w:r>
        <w:rPr>
          <w:rStyle w:val="Ohne"/>
          <w:rtl w:val="0"/>
          <w:lang w:val="en-US"/>
        </w:rPr>
        <w:t>is now more commonly used with its American meaning of a thousand million but it may be necessary for you to make it clear in which sense you are using the word. Use -ize or -ise spellings consistently for words such as globalization/organization. Please note that in British English certain words (analyse, catalyse, dialyse, electrolyse, hydrolyse, paralyse) cannot be spelled -yze, but in American English normally are.</w:t>
      </w:r>
    </w:p>
    <w:p>
      <w:pPr>
        <w:pStyle w:val="List Paragraph"/>
        <w:numPr>
          <w:ilvl w:val="0"/>
          <w:numId w:val="4"/>
        </w:numPr>
        <w:rPr>
          <w:lang w:val="en-US"/>
        </w:rPr>
      </w:pPr>
      <w:r>
        <w:rPr>
          <w:rStyle w:val="Ohne"/>
          <w:rtl w:val="0"/>
          <w:lang w:val="en-US"/>
        </w:rPr>
        <w:t xml:space="preserve">Use double </w:t>
      </w:r>
      <w:r>
        <w:rPr>
          <w:rStyle w:val="Ohne"/>
          <w:b w:val="1"/>
          <w:bCs w:val="1"/>
          <w:rtl w:val="0"/>
          <w:lang w:val="en-US"/>
        </w:rPr>
        <w:t>quotation</w:t>
      </w:r>
      <w:r>
        <w:rPr>
          <w:rStyle w:val="Ohne"/>
          <w:rtl w:val="0"/>
          <w:lang w:val="en-US"/>
        </w:rPr>
        <w:t xml:space="preserve"> marks with single for quotes within quotes and double again for quotes within quotes within quotes. Displayed extracts do not need quotation marks. Please enclose your own interpolations in square brackets to show they are not part of the quoted matter. Final punctuation should be within quotation marks if a complete sentence is quoted. Unless the punctuation is an integral part of the quotation, it should be </w:t>
      </w:r>
      <w:r>
        <w:rPr>
          <w:rStyle w:val="Ohne"/>
          <w:i w:val="1"/>
          <w:iCs w:val="1"/>
          <w:rtl w:val="0"/>
          <w:lang w:val="en-US"/>
        </w:rPr>
        <w:t xml:space="preserve">outside </w:t>
      </w:r>
      <w:r>
        <w:rPr>
          <w:rStyle w:val="Ohne"/>
          <w:rtl w:val="0"/>
          <w:lang w:val="en-US"/>
        </w:rPr>
        <w:t>the quotation marks. E.g.,</w:t>
      </w:r>
    </w:p>
    <w:p>
      <w:pPr>
        <w:pStyle w:val="List Paragraph"/>
        <w:numPr>
          <w:ilvl w:val="0"/>
          <w:numId w:val="6"/>
        </w:numPr>
        <w:rPr>
          <w:lang w:val="en-US"/>
        </w:rPr>
      </w:pPr>
      <w:r>
        <w:rPr>
          <w:rStyle w:val="Ohne"/>
          <w:rtl w:val="0"/>
          <w:lang w:val="en-US"/>
        </w:rPr>
        <w:t xml:space="preserve">Wittgenstein says that </w:t>
      </w:r>
      <w:r>
        <w:rPr>
          <w:rStyle w:val="Ohne"/>
          <w:rtl w:val="0"/>
          <w:lang w:val="en-US"/>
        </w:rPr>
        <w:t>“</w:t>
      </w:r>
      <w:r>
        <w:rPr>
          <w:rStyle w:val="Ohne"/>
          <w:rtl w:val="0"/>
          <w:lang w:val="en-US"/>
        </w:rPr>
        <w:t>[l]ogic must take care of itself.</w:t>
      </w:r>
      <w:r>
        <w:rPr>
          <w:rStyle w:val="Ohne"/>
          <w:rtl w:val="0"/>
          <w:lang w:val="en-US"/>
        </w:rPr>
        <w:t xml:space="preserve">” </w:t>
      </w:r>
      <w:r>
        <w:rPr>
          <w:rStyle w:val="Ohne"/>
          <w:rtl w:val="0"/>
          <w:lang w:val="en-US"/>
        </w:rPr>
        <w:t>(NB: p.2)</w:t>
      </w:r>
    </w:p>
    <w:p>
      <w:pPr>
        <w:pStyle w:val="List Paragraph"/>
        <w:numPr>
          <w:ilvl w:val="0"/>
          <w:numId w:val="6"/>
        </w:numPr>
        <w:rPr>
          <w:lang w:val="en-US"/>
        </w:rPr>
      </w:pPr>
      <w:r>
        <w:rPr>
          <w:rStyle w:val="Ohne"/>
          <w:rtl w:val="0"/>
          <w:lang w:val="en-US"/>
        </w:rPr>
        <w:t xml:space="preserve">Wittgenstein then writes, </w:t>
      </w:r>
      <w:r>
        <w:rPr>
          <w:rStyle w:val="Ohne"/>
          <w:rtl w:val="0"/>
          <w:lang w:val="en-US"/>
        </w:rPr>
        <w:t>“</w:t>
      </w:r>
      <w:r>
        <w:rPr>
          <w:rStyle w:val="Ohne"/>
          <w:rtl w:val="0"/>
          <w:lang w:val="en-US"/>
        </w:rPr>
        <w:t xml:space="preserve">But what is the meaning of the word </w:t>
      </w:r>
      <w:r>
        <w:rPr>
          <w:rStyle w:val="Ohne"/>
          <w:rtl w:val="0"/>
          <w:lang w:val="en-US"/>
        </w:rPr>
        <w:t>‘</w:t>
      </w:r>
      <w:r>
        <w:rPr>
          <w:rStyle w:val="Ohne"/>
          <w:rtl w:val="0"/>
          <w:lang w:val="en-US"/>
        </w:rPr>
        <w:t>five</w:t>
      </w:r>
      <w:r>
        <w:rPr>
          <w:rStyle w:val="Ohne"/>
          <w:rtl w:val="0"/>
          <w:lang w:val="en-US"/>
        </w:rPr>
        <w:t>’</w:t>
      </w:r>
      <w:r>
        <w:rPr>
          <w:rStyle w:val="Ohne"/>
          <w:rtl w:val="0"/>
          <w:lang w:val="en-US"/>
        </w:rPr>
        <w:t>?</w:t>
      </w:r>
      <w:r>
        <w:rPr>
          <w:rStyle w:val="Ohne"/>
          <w:rtl w:val="0"/>
          <w:lang w:val="en-US"/>
        </w:rPr>
        <w:t xml:space="preserve">” </w:t>
      </w:r>
      <w:r>
        <w:rPr>
          <w:rStyle w:val="Ohne"/>
          <w:rtl w:val="0"/>
          <w:lang w:val="en-US"/>
        </w:rPr>
        <w:t xml:space="preserve">(PI: </w:t>
      </w:r>
      <w:r>
        <w:rPr>
          <w:rStyle w:val="Ohne"/>
          <w:rtl w:val="0"/>
          <w:lang w:val="en-US"/>
        </w:rPr>
        <w:t>§</w:t>
      </w:r>
      <w:r>
        <w:rPr>
          <w:rStyle w:val="Ohne"/>
          <w:rtl w:val="0"/>
          <w:lang w:val="en-US"/>
        </w:rPr>
        <w:t>1)</w:t>
      </w:r>
    </w:p>
    <w:p>
      <w:pPr>
        <w:pStyle w:val="List Paragraph"/>
        <w:ind w:left="360" w:firstLine="0"/>
        <w:rPr>
          <w:lang w:val="nl-NL"/>
        </w:rPr>
      </w:pPr>
      <w:r>
        <w:rPr>
          <w:rStyle w:val="Ohne"/>
          <w:rtl w:val="0"/>
          <w:lang w:val="nl-NL"/>
        </w:rPr>
        <w:t>VS.</w:t>
      </w:r>
    </w:p>
    <w:p>
      <w:pPr>
        <w:pStyle w:val="List Paragraph"/>
        <w:numPr>
          <w:ilvl w:val="0"/>
          <w:numId w:val="6"/>
        </w:numPr>
        <w:rPr>
          <w:lang w:val="en-US"/>
        </w:rPr>
      </w:pPr>
      <w:r>
        <w:rPr>
          <w:rStyle w:val="Ohne"/>
          <w:rtl w:val="0"/>
          <w:lang w:val="en-US"/>
        </w:rPr>
        <w:t xml:space="preserve">Wittgenstein says about logic that it </w:t>
      </w:r>
      <w:r>
        <w:rPr>
          <w:rStyle w:val="Ohne"/>
          <w:rtl w:val="0"/>
          <w:lang w:val="en-US"/>
        </w:rPr>
        <w:t>“</w:t>
      </w:r>
      <w:r>
        <w:rPr>
          <w:rStyle w:val="Ohne"/>
          <w:rtl w:val="0"/>
          <w:lang w:val="en-US"/>
        </w:rPr>
        <w:t>must take care of itself</w:t>
      </w:r>
      <w:r>
        <w:rPr>
          <w:rStyle w:val="Ohne"/>
          <w:rtl w:val="0"/>
          <w:lang w:val="en-US"/>
        </w:rPr>
        <w:t xml:space="preserve">” </w:t>
      </w:r>
      <w:r>
        <w:rPr>
          <w:rStyle w:val="Ohne"/>
          <w:rtl w:val="0"/>
          <w:lang w:val="en-US"/>
        </w:rPr>
        <w:t>(NB: p.2).</w:t>
      </w:r>
    </w:p>
    <w:p>
      <w:pPr>
        <w:pStyle w:val="List Paragraph"/>
        <w:ind w:left="360" w:firstLine="0"/>
      </w:pPr>
      <w:r>
        <w:rPr>
          <w:rStyle w:val="Ohne"/>
          <w:rtl w:val="0"/>
          <w:lang w:val="en-US"/>
        </w:rPr>
        <w:t xml:space="preserve">Titles of articles should be in double quotation marks. </w:t>
      </w:r>
    </w:p>
    <w:p>
      <w:pPr>
        <w:pStyle w:val="List Paragraph"/>
        <w:numPr>
          <w:ilvl w:val="0"/>
          <w:numId w:val="4"/>
        </w:numPr>
        <w:spacing w:before="100" w:after="100" w:line="240" w:lineRule="auto"/>
        <w:rPr>
          <w:lang w:val="en-US"/>
        </w:rPr>
      </w:pPr>
      <w:r>
        <w:rPr>
          <w:rStyle w:val="Ohne"/>
          <w:rtl w:val="0"/>
          <w:lang w:val="en-US"/>
        </w:rPr>
        <w:t xml:space="preserve">The titles of books and journals should be in </w:t>
      </w:r>
      <w:r>
        <w:rPr>
          <w:rStyle w:val="Ohne"/>
          <w:b w:val="1"/>
          <w:bCs w:val="1"/>
          <w:rtl w:val="0"/>
          <w:lang w:val="en-US"/>
        </w:rPr>
        <w:t>italics</w:t>
      </w:r>
      <w:r>
        <w:rPr>
          <w:rStyle w:val="Ohne"/>
          <w:rtl w:val="0"/>
          <w:lang w:val="en-US"/>
        </w:rPr>
        <w:t>. Foreign words and phrases should be in italics.</w:t>
      </w:r>
    </w:p>
    <w:p>
      <w:pPr>
        <w:pStyle w:val="List Paragraph"/>
        <w:numPr>
          <w:ilvl w:val="0"/>
          <w:numId w:val="4"/>
        </w:numPr>
        <w:rPr>
          <w:lang w:val="en-US"/>
        </w:rPr>
      </w:pPr>
      <w:r>
        <w:rPr>
          <w:rStyle w:val="Ohne"/>
          <w:b w:val="1"/>
          <w:bCs w:val="1"/>
          <w:rtl w:val="0"/>
          <w:lang w:val="en-US"/>
        </w:rPr>
        <w:t>Dates</w:t>
      </w:r>
      <w:r>
        <w:rPr>
          <w:rStyle w:val="Ohne"/>
          <w:rtl w:val="0"/>
          <w:lang w:val="en-US"/>
        </w:rPr>
        <w:t xml:space="preserve"> should be styled 18 May 2007, and decades as the nineties or the 1990s without an apostrophe. </w:t>
      </w:r>
    </w:p>
    <w:p>
      <w:pPr>
        <w:pStyle w:val="List Paragraph"/>
        <w:numPr>
          <w:ilvl w:val="0"/>
          <w:numId w:val="4"/>
        </w:numPr>
        <w:rPr>
          <w:lang w:val="en-US"/>
        </w:rPr>
      </w:pPr>
      <w:r>
        <w:rPr>
          <w:rStyle w:val="Ohne"/>
          <w:b w:val="1"/>
          <w:bCs w:val="1"/>
          <w:rtl w:val="0"/>
          <w:lang w:val="en-US"/>
        </w:rPr>
        <w:t>Abbreviations</w:t>
      </w:r>
      <w:r>
        <w:rPr>
          <w:rStyle w:val="Ohne"/>
          <w:rtl w:val="0"/>
          <w:lang w:val="en-US"/>
        </w:rPr>
        <w:t xml:space="preserve"> consisting of capital initial letters don</w:t>
      </w:r>
      <w:r>
        <w:rPr>
          <w:rStyle w:val="Ohne"/>
          <w:rtl w:val="0"/>
          <w:lang w:val="en-US"/>
        </w:rPr>
        <w:t>’</w:t>
      </w:r>
      <w:r>
        <w:rPr>
          <w:rStyle w:val="Ohne"/>
          <w:rtl w:val="0"/>
          <w:lang w:val="en-US"/>
        </w:rPr>
        <w:t xml:space="preserve">t have full stops </w:t>
      </w:r>
      <w:r>
        <w:rPr>
          <w:rStyle w:val="Ohne"/>
          <w:rtl w:val="0"/>
          <w:lang w:val="en-US"/>
        </w:rPr>
        <w:t xml:space="preserve">– </w:t>
      </w:r>
      <w:r>
        <w:rPr>
          <w:rStyle w:val="Ohne"/>
          <w:rtl w:val="0"/>
          <w:lang w:val="en-US"/>
        </w:rPr>
        <w:t xml:space="preserve">GNP, USA. Contractions ending with the same letter as the original word do not take terminal full stops </w:t>
      </w:r>
      <w:r>
        <w:rPr>
          <w:rStyle w:val="Ohne"/>
          <w:rtl w:val="0"/>
          <w:lang w:val="en-US"/>
        </w:rPr>
        <w:t xml:space="preserve">– </w:t>
      </w:r>
      <w:r>
        <w:rPr>
          <w:rStyle w:val="Ohne"/>
          <w:rtl w:val="0"/>
          <w:lang w:val="en-US"/>
        </w:rPr>
        <w:t xml:space="preserve">St, Mr, Dr </w:t>
      </w:r>
      <w:r>
        <w:rPr>
          <w:rStyle w:val="Ohne"/>
          <w:rtl w:val="0"/>
          <w:lang w:val="en-US"/>
        </w:rPr>
        <w:t xml:space="preserve">– </w:t>
      </w:r>
      <w:r>
        <w:rPr>
          <w:rStyle w:val="Ohne"/>
          <w:rtl w:val="0"/>
          <w:lang w:val="en-US"/>
        </w:rPr>
        <w:t xml:space="preserve">but abbreviations where the last letter of the word is not included do take a full stop </w:t>
      </w:r>
      <w:r>
        <w:rPr>
          <w:rStyle w:val="Ohne"/>
          <w:rtl w:val="0"/>
          <w:lang w:val="en-US"/>
        </w:rPr>
        <w:t xml:space="preserve">– </w:t>
      </w:r>
      <w:r>
        <w:rPr>
          <w:rStyle w:val="Ohne"/>
          <w:rtl w:val="0"/>
          <w:lang w:val="en-US"/>
        </w:rPr>
        <w:t xml:space="preserve">ed., ch. </w:t>
      </w:r>
      <w:r>
        <w:rPr>
          <w:rStyle w:val="Ohne"/>
          <w:rtl w:val="0"/>
          <w:lang w:val="en-US"/>
        </w:rPr>
        <w:t xml:space="preserve">– </w:t>
      </w:r>
      <w:r>
        <w:rPr>
          <w:rStyle w:val="Ohne"/>
          <w:rtl w:val="0"/>
          <w:lang w:val="en-US"/>
        </w:rPr>
        <w:t xml:space="preserve">thus ed. and eds are both correct. Abbreviated units of measurement do not take a full stop </w:t>
      </w:r>
      <w:r>
        <w:rPr>
          <w:rStyle w:val="Ohne"/>
          <w:rtl w:val="0"/>
          <w:lang w:val="en-US"/>
        </w:rPr>
        <w:t xml:space="preserve">– </w:t>
      </w:r>
      <w:r>
        <w:rPr>
          <w:rStyle w:val="Ohne"/>
          <w:rtl w:val="0"/>
          <w:lang w:val="en-US"/>
        </w:rPr>
        <w:t xml:space="preserve">lb, mm and kg </w:t>
      </w:r>
      <w:r>
        <w:rPr>
          <w:rStyle w:val="Ohne"/>
          <w:rtl w:val="0"/>
          <w:lang w:val="en-US"/>
        </w:rPr>
        <w:t xml:space="preserve">– </w:t>
      </w:r>
      <w:r>
        <w:rPr>
          <w:rStyle w:val="Ohne"/>
          <w:rtl w:val="0"/>
          <w:lang w:val="en-US"/>
        </w:rPr>
        <w:t xml:space="preserve">and do not take a final </w:t>
      </w:r>
      <w:r>
        <w:rPr>
          <w:rStyle w:val="Ohne"/>
          <w:rtl w:val="0"/>
          <w:lang w:val="en-US"/>
        </w:rPr>
        <w:t>“</w:t>
      </w:r>
      <w:r>
        <w:rPr>
          <w:rStyle w:val="Ohne"/>
          <w:rtl w:val="0"/>
          <w:lang w:val="en-US"/>
        </w:rPr>
        <w:t>s</w:t>
      </w:r>
      <w:r>
        <w:rPr>
          <w:rStyle w:val="Ohne"/>
          <w:rtl w:val="0"/>
          <w:lang w:val="en-US"/>
        </w:rPr>
        <w:t xml:space="preserve">” </w:t>
      </w:r>
      <w:r>
        <w:rPr>
          <w:rStyle w:val="Ohne"/>
          <w:rtl w:val="0"/>
          <w:lang w:val="en-US"/>
        </w:rPr>
        <w:t xml:space="preserve">in the plural </w:t>
      </w:r>
      <w:r>
        <w:rPr>
          <w:rStyle w:val="Ohne"/>
          <w:rtl w:val="0"/>
          <w:lang w:val="en-US"/>
        </w:rPr>
        <w:t xml:space="preserve">– </w:t>
      </w:r>
      <w:r>
        <w:rPr>
          <w:rStyle w:val="Ohne"/>
          <w:rtl w:val="0"/>
          <w:lang w:val="en-US"/>
        </w:rPr>
        <w:t xml:space="preserve">7 lb, 10 mm. Where possible use </w:t>
      </w:r>
      <w:r>
        <w:rPr>
          <w:rStyle w:val="Ohne"/>
          <w:rtl w:val="0"/>
          <w:lang w:val="en-US"/>
        </w:rPr>
        <w:t>“</w:t>
      </w:r>
      <w:r>
        <w:rPr>
          <w:rStyle w:val="Ohne"/>
          <w:rtl w:val="0"/>
          <w:lang w:val="en-US"/>
        </w:rPr>
        <w:t>and so on</w:t>
      </w:r>
      <w:r>
        <w:rPr>
          <w:rStyle w:val="Ohne"/>
          <w:rtl w:val="0"/>
          <w:lang w:val="en-US"/>
        </w:rPr>
        <w:t>”</w:t>
      </w:r>
      <w:r>
        <w:rPr>
          <w:rStyle w:val="Ohne"/>
          <w:rtl w:val="0"/>
          <w:lang w:val="en-US"/>
        </w:rPr>
        <w:t xml:space="preserve">, </w:t>
      </w:r>
      <w:r>
        <w:rPr>
          <w:rStyle w:val="Ohne"/>
          <w:rtl w:val="0"/>
          <w:lang w:val="en-US"/>
        </w:rPr>
        <w:t>“</w:t>
      </w:r>
      <w:r>
        <w:rPr>
          <w:rStyle w:val="Ohne"/>
          <w:rtl w:val="0"/>
          <w:lang w:val="en-US"/>
        </w:rPr>
        <w:t>that is</w:t>
      </w:r>
      <w:r>
        <w:rPr>
          <w:rStyle w:val="Ohne"/>
          <w:rtl w:val="0"/>
          <w:lang w:val="en-US"/>
        </w:rPr>
        <w:t xml:space="preserve">” </w:t>
      </w:r>
      <w:r>
        <w:rPr>
          <w:rStyle w:val="Ohne"/>
          <w:rtl w:val="0"/>
          <w:lang w:val="en-US"/>
        </w:rPr>
        <w:t xml:space="preserve">and </w:t>
      </w:r>
      <w:r>
        <w:rPr>
          <w:rStyle w:val="Ohne"/>
          <w:rtl w:val="0"/>
          <w:lang w:val="en-US"/>
        </w:rPr>
        <w:t>“</w:t>
      </w:r>
      <w:r>
        <w:rPr>
          <w:rStyle w:val="Ohne"/>
          <w:rtl w:val="0"/>
          <w:lang w:val="en-US"/>
        </w:rPr>
        <w:t>for example</w:t>
      </w:r>
      <w:r>
        <w:rPr>
          <w:rStyle w:val="Ohne"/>
          <w:rtl w:val="0"/>
          <w:lang w:val="en-US"/>
        </w:rPr>
        <w:t xml:space="preserve">” </w:t>
      </w:r>
      <w:r>
        <w:rPr>
          <w:rStyle w:val="Ohne"/>
          <w:rtl w:val="0"/>
          <w:lang w:val="en-US"/>
        </w:rPr>
        <w:t>instead of etc., i.e. and e.g.</w:t>
      </w:r>
    </w:p>
    <w:p>
      <w:pPr>
        <w:pStyle w:val="List Paragraph"/>
        <w:numPr>
          <w:ilvl w:val="0"/>
          <w:numId w:val="4"/>
        </w:numPr>
        <w:rPr>
          <w:lang w:val="en-US"/>
        </w:rPr>
      </w:pPr>
      <w:r>
        <w:rPr>
          <w:rStyle w:val="Ohne"/>
          <w:rtl w:val="0"/>
          <w:lang w:val="en-US"/>
        </w:rPr>
        <w:t xml:space="preserve">Initial capitals are used to </w:t>
      </w:r>
      <w:r>
        <w:rPr>
          <w:rStyle w:val="Ohne"/>
          <w:b w:val="1"/>
          <w:bCs w:val="1"/>
          <w:rtl w:val="0"/>
          <w:lang w:val="en-US"/>
        </w:rPr>
        <w:t>distinguish the specific from the general</w:t>
      </w:r>
      <w:r>
        <w:rPr>
          <w:rStyle w:val="Ohne"/>
          <w:rtl w:val="0"/>
          <w:lang w:val="en-US"/>
        </w:rPr>
        <w:t xml:space="preserve"> – </w:t>
      </w:r>
      <w:r>
        <w:rPr>
          <w:rStyle w:val="Ohne"/>
          <w:rtl w:val="0"/>
          <w:lang w:val="en-US"/>
        </w:rPr>
        <w:t xml:space="preserve">for example, </w:t>
      </w:r>
      <w:r>
        <w:rPr>
          <w:rStyle w:val="Ohne"/>
          <w:rtl w:val="0"/>
          <w:lang w:val="en-US"/>
        </w:rPr>
        <w:t>“</w:t>
      </w:r>
      <w:r>
        <w:rPr>
          <w:rStyle w:val="Ohne"/>
          <w:rtl w:val="0"/>
          <w:lang w:val="en-US"/>
        </w:rPr>
        <w:t xml:space="preserve">she is Professor of Economics at </w:t>
      </w:r>
      <w:r>
        <w:rPr>
          <w:rStyle w:val="Ohne"/>
          <w:rtl w:val="0"/>
          <w:lang w:val="en-US"/>
        </w:rPr>
        <w:t>…”</w:t>
      </w:r>
      <w:r>
        <w:rPr>
          <w:rStyle w:val="Ohne"/>
          <w:rtl w:val="0"/>
          <w:lang w:val="en-US"/>
        </w:rPr>
        <w:t xml:space="preserve">, but </w:t>
      </w:r>
      <w:r>
        <w:rPr>
          <w:rStyle w:val="Ohne"/>
          <w:rtl w:val="0"/>
          <w:lang w:val="en-US"/>
        </w:rPr>
        <w:t>“</w:t>
      </w:r>
      <w:r>
        <w:rPr>
          <w:rStyle w:val="Ohne"/>
          <w:rtl w:val="0"/>
          <w:lang w:val="en-US"/>
        </w:rPr>
        <w:t xml:space="preserve">he is a professor at a </w:t>
      </w:r>
      <w:r>
        <w:rPr>
          <w:rStyle w:val="Ohne"/>
          <w:rtl w:val="0"/>
          <w:lang w:val="en-US"/>
        </w:rPr>
        <w:t>…”</w:t>
      </w:r>
      <w:r>
        <w:rPr>
          <w:rStyle w:val="Ohne"/>
          <w:rtl w:val="0"/>
          <w:lang w:val="en-US"/>
        </w:rPr>
        <w:t>.</w:t>
      </w:r>
    </w:p>
    <w:p>
      <w:pPr>
        <w:pStyle w:val="List Paragraph"/>
        <w:numPr>
          <w:ilvl w:val="0"/>
          <w:numId w:val="4"/>
        </w:numPr>
        <w:rPr>
          <w:lang w:val="en-US"/>
        </w:rPr>
      </w:pPr>
      <w:r>
        <w:rPr>
          <w:rStyle w:val="Ohne"/>
          <w:b w:val="1"/>
          <w:bCs w:val="1"/>
          <w:rtl w:val="0"/>
          <w:lang w:val="en-US"/>
        </w:rPr>
        <w:t>Numbers</w:t>
      </w:r>
      <w:r>
        <w:rPr>
          <w:rStyle w:val="Ohne"/>
          <w:rtl w:val="0"/>
          <w:lang w:val="en-US"/>
        </w:rPr>
        <w:t xml:space="preserve"> one to ten are expressed in words, but 11 upward appear in figures, unless used in general terms </w:t>
      </w:r>
      <w:r>
        <w:rPr>
          <w:rStyle w:val="Ohne"/>
          <w:rtl w:val="0"/>
          <w:lang w:val="en-US"/>
        </w:rPr>
        <w:t xml:space="preserve">– </w:t>
      </w:r>
      <w:r>
        <w:rPr>
          <w:rStyle w:val="Ohne"/>
          <w:rtl w:val="0"/>
          <w:lang w:val="en-US"/>
        </w:rPr>
        <w:t xml:space="preserve">for instance, about a hundred people. Wherever a unit of measurement is used the number preceding it appears in figures </w:t>
      </w:r>
      <w:r>
        <w:rPr>
          <w:rStyle w:val="Ohne"/>
          <w:rtl w:val="0"/>
          <w:lang w:val="en-US"/>
        </w:rPr>
        <w:t xml:space="preserve">– </w:t>
      </w:r>
      <w:r>
        <w:rPr>
          <w:rStyle w:val="Ohne"/>
          <w:rtl w:val="0"/>
          <w:lang w:val="en-US"/>
        </w:rPr>
        <w:t xml:space="preserve">unless it is used in a very general sense such as hundreds of miles. </w:t>
      </w:r>
    </w:p>
    <w:p>
      <w:pPr>
        <w:pStyle w:val="List Paragraph"/>
        <w:numPr>
          <w:ilvl w:val="0"/>
          <w:numId w:val="4"/>
        </w:numPr>
        <w:rPr>
          <w:lang w:val="en-US"/>
        </w:rPr>
      </w:pPr>
      <w:r>
        <w:rPr>
          <w:rStyle w:val="Ohne"/>
          <w:b w:val="1"/>
          <w:bCs w:val="1"/>
          <w:rtl w:val="0"/>
          <w:lang w:val="en-US"/>
        </w:rPr>
        <w:t>Decimal points</w:t>
      </w:r>
      <w:r>
        <w:rPr>
          <w:rStyle w:val="Ohne"/>
          <w:rtl w:val="0"/>
          <w:lang w:val="en-US"/>
        </w:rPr>
        <w:t xml:space="preserve"> should appear as full stops on the line. Please mark clearly, either as a note within your electronic file or on a printout of the relevant page, the difference between the capital letter O and zero and between lower-case l and figure 1 where there may be doubt. </w:t>
      </w:r>
    </w:p>
    <w:p>
      <w:pPr>
        <w:pStyle w:val="List Paragraph"/>
        <w:numPr>
          <w:ilvl w:val="0"/>
          <w:numId w:val="4"/>
        </w:numPr>
        <w:rPr>
          <w:lang w:val="en-US"/>
        </w:rPr>
      </w:pPr>
      <w:r>
        <w:rPr>
          <w:rStyle w:val="Ohne"/>
          <w:b w:val="1"/>
          <w:bCs w:val="1"/>
          <w:rtl w:val="0"/>
          <w:lang w:val="en-US"/>
        </w:rPr>
        <w:t>Inclusive numbers</w:t>
      </w:r>
      <w:r>
        <w:rPr>
          <w:rStyle w:val="Ohne"/>
          <w:rtl w:val="0"/>
          <w:lang w:val="en-US"/>
        </w:rPr>
        <w:t xml:space="preserve"> should include the fewest possible digits: 32</w:t>
      </w:r>
      <w:r>
        <w:rPr>
          <w:rStyle w:val="Ohne"/>
          <w:rtl w:val="0"/>
          <w:lang w:val="en-US"/>
        </w:rPr>
        <w:t>–</w:t>
      </w:r>
      <w:r>
        <w:rPr>
          <w:rStyle w:val="Ohne"/>
          <w:rtl w:val="0"/>
          <w:lang w:val="en-US"/>
        </w:rPr>
        <w:t>3, 132</w:t>
      </w:r>
      <w:r>
        <w:rPr>
          <w:rStyle w:val="Ohne"/>
          <w:rtl w:val="0"/>
          <w:lang w:val="en-US"/>
        </w:rPr>
        <w:t>–</w:t>
      </w:r>
      <w:r>
        <w:rPr>
          <w:rStyle w:val="Ohne"/>
          <w:rtl w:val="0"/>
          <w:lang w:val="en-US"/>
        </w:rPr>
        <w:t xml:space="preserve">48, 200-5, except in </w:t>
      </w:r>
      <w:r>
        <w:rPr>
          <w:rStyle w:val="Ohne"/>
          <w:rtl w:val="0"/>
          <w:lang w:val="en-US"/>
        </w:rPr>
        <w:t>‘</w:t>
      </w:r>
      <w:r>
        <w:rPr>
          <w:rStyle w:val="Ohne"/>
          <w:rtl w:val="0"/>
          <w:lang w:val="en-US"/>
        </w:rPr>
        <w:t>teen</w:t>
      </w:r>
      <w:r>
        <w:rPr>
          <w:rStyle w:val="Ohne"/>
          <w:rtl w:val="0"/>
          <w:lang w:val="en-US"/>
        </w:rPr>
        <w:t xml:space="preserve">’ </w:t>
      </w:r>
      <w:r>
        <w:rPr>
          <w:rStyle w:val="Ohne"/>
          <w:rtl w:val="0"/>
          <w:lang w:val="en-US"/>
        </w:rPr>
        <w:t>numbers, where the 1 is repeated, 1914</w:t>
      </w:r>
      <w:r>
        <w:rPr>
          <w:rStyle w:val="Ohne"/>
          <w:rtl w:val="0"/>
          <w:lang w:val="en-US"/>
        </w:rPr>
        <w:t>–</w:t>
      </w:r>
      <w:r>
        <w:rPr>
          <w:rStyle w:val="Ohne"/>
          <w:rtl w:val="0"/>
          <w:lang w:val="en-US"/>
        </w:rPr>
        <w:t>18. Dates should be elided to the last two digits: 1997</w:t>
      </w:r>
      <w:r>
        <w:rPr>
          <w:rStyle w:val="Ohne"/>
          <w:rtl w:val="0"/>
          <w:lang w:val="en-US"/>
        </w:rPr>
        <w:t>–</w:t>
      </w:r>
      <w:r>
        <w:rPr>
          <w:rStyle w:val="Ohne"/>
          <w:rtl w:val="0"/>
          <w:lang w:val="en-US"/>
        </w:rPr>
        <w:t xml:space="preserve">98. </w:t>
      </w:r>
    </w:p>
    <w:p>
      <w:pPr>
        <w:pStyle w:val="List Paragraph"/>
        <w:numPr>
          <w:ilvl w:val="0"/>
          <w:numId w:val="4"/>
        </w:numPr>
        <w:rPr>
          <w:lang w:val="en-US"/>
        </w:rPr>
      </w:pPr>
      <w:r>
        <w:rPr>
          <w:rStyle w:val="Ohne"/>
          <w:rtl w:val="0"/>
          <w:lang w:val="en-US"/>
        </w:rPr>
        <w:t xml:space="preserve">In text, </w:t>
      </w:r>
      <w:r>
        <w:rPr>
          <w:rStyle w:val="Ohne"/>
          <w:b w:val="1"/>
          <w:bCs w:val="1"/>
          <w:rtl w:val="0"/>
          <w:lang w:val="en-US"/>
        </w:rPr>
        <w:t>per cent</w:t>
      </w:r>
      <w:r>
        <w:rPr>
          <w:rStyle w:val="Ohne"/>
          <w:rtl w:val="0"/>
          <w:lang w:val="en-US"/>
        </w:rPr>
        <w:t xml:space="preserve"> should usually be spelt out and the number should appear in figures </w:t>
      </w:r>
      <w:r>
        <w:rPr>
          <w:rStyle w:val="Ohne"/>
          <w:rtl w:val="0"/>
          <w:lang w:val="en-US"/>
        </w:rPr>
        <w:t xml:space="preserve">– </w:t>
      </w:r>
      <w:r>
        <w:rPr>
          <w:rStyle w:val="Ohne"/>
          <w:rtl w:val="0"/>
          <w:lang w:val="en-US"/>
        </w:rPr>
        <w:t>54 per cent. In tables the % symbol can be used.</w:t>
      </w:r>
    </w:p>
    <w:p>
      <w:pPr>
        <w:pStyle w:val="List Paragraph"/>
        <w:numPr>
          <w:ilvl w:val="0"/>
          <w:numId w:val="4"/>
        </w:numPr>
        <w:rPr>
          <w:lang w:val="en-US"/>
        </w:rPr>
      </w:pPr>
      <w:r>
        <w:rPr>
          <w:rStyle w:val="Ohne"/>
          <w:b w:val="1"/>
          <w:bCs w:val="1"/>
          <w:rtl w:val="0"/>
          <w:lang w:val="en-US"/>
        </w:rPr>
        <w:t>Hyphenation</w:t>
      </w:r>
      <w:r>
        <w:rPr>
          <w:rStyle w:val="Ohne"/>
          <w:rtl w:val="0"/>
          <w:lang w:val="en-US"/>
        </w:rPr>
        <w:t xml:space="preserve">. In general this is being used less frequently in compound terms </w:t>
      </w:r>
      <w:r>
        <w:rPr>
          <w:rStyle w:val="Ohne"/>
          <w:rtl w:val="0"/>
          <w:lang w:val="en-US"/>
        </w:rPr>
        <w:t xml:space="preserve">– </w:t>
      </w:r>
      <w:r>
        <w:rPr>
          <w:rStyle w:val="Ohne"/>
          <w:rtl w:val="0"/>
          <w:lang w:val="en-US"/>
        </w:rPr>
        <w:t>for instance, microeconomic. Clarity of meaning and consistency throughout the book are the most important considerations.</w:t>
      </w:r>
    </w:p>
    <w:p>
      <w:pPr>
        <w:pStyle w:val="List Paragraph"/>
        <w:numPr>
          <w:ilvl w:val="0"/>
          <w:numId w:val="4"/>
        </w:numPr>
        <w:rPr>
          <w:lang w:val="en-US"/>
        </w:rPr>
      </w:pPr>
      <w:r>
        <w:rPr>
          <w:rStyle w:val="Ohne"/>
          <w:b w:val="1"/>
          <w:bCs w:val="1"/>
          <w:rtl w:val="0"/>
          <w:lang w:val="en-US"/>
        </w:rPr>
        <w:t>En-rules</w:t>
      </w:r>
      <w:r>
        <w:rPr>
          <w:rStyle w:val="Ohne"/>
          <w:rtl w:val="0"/>
          <w:lang w:val="en-US"/>
        </w:rPr>
        <w:t xml:space="preserve"> should be used for parentheses, rather than em-rules. E.g. </w:t>
      </w:r>
      <w:r>
        <w:rPr>
          <w:rStyle w:val="Ohne"/>
          <w:rtl w:val="0"/>
          <w:lang w:val="en-US"/>
        </w:rPr>
        <w:t>“</w:t>
      </w:r>
      <w:r>
        <w:rPr>
          <w:rStyle w:val="Ohne"/>
          <w:rtl w:val="0"/>
          <w:lang w:val="en-US"/>
        </w:rPr>
        <w:t xml:space="preserve">en-rules are </w:t>
      </w:r>
      <w:r>
        <w:rPr>
          <w:rStyle w:val="Ohne"/>
          <w:rtl w:val="0"/>
          <w:lang w:val="en-US"/>
        </w:rPr>
        <w:t xml:space="preserve">– </w:t>
      </w:r>
      <w:r>
        <w:rPr>
          <w:rStyle w:val="Ohne"/>
          <w:rtl w:val="0"/>
          <w:lang w:val="en-US"/>
        </w:rPr>
        <w:t>according to Hart</w:t>
      </w:r>
      <w:r>
        <w:rPr>
          <w:rStyle w:val="Ohne"/>
          <w:rtl w:val="0"/>
          <w:lang w:val="en-US"/>
        </w:rPr>
        <w:t>’</w:t>
      </w:r>
      <w:r>
        <w:rPr>
          <w:rStyle w:val="Ohne"/>
          <w:rtl w:val="0"/>
          <w:lang w:val="en-US"/>
        </w:rPr>
        <w:t xml:space="preserve">s rules </w:t>
      </w:r>
      <w:r>
        <w:rPr>
          <w:rStyle w:val="Ohne"/>
          <w:rtl w:val="0"/>
          <w:lang w:val="en-US"/>
        </w:rPr>
        <w:t xml:space="preserve">– </w:t>
      </w:r>
      <w:r>
        <w:rPr>
          <w:rStyle w:val="Ohne"/>
          <w:rtl w:val="0"/>
          <w:lang w:val="en-US"/>
        </w:rPr>
        <w:t>the most appropriate for London journals</w:t>
      </w:r>
      <w:r>
        <w:rPr>
          <w:rStyle w:val="Ohne"/>
          <w:rtl w:val="0"/>
          <w:lang w:val="en-US"/>
        </w:rPr>
        <w:t>”</w:t>
      </w:r>
      <w:r>
        <w:rPr>
          <w:rStyle w:val="Ohne"/>
          <w:rtl w:val="0"/>
          <w:lang w:val="en-US"/>
        </w:rPr>
        <w:t xml:space="preserve">. NOT: </w:t>
      </w:r>
      <w:r>
        <w:rPr>
          <w:rStyle w:val="Ohne"/>
          <w:rtl w:val="0"/>
          <w:lang w:val="en-US"/>
        </w:rPr>
        <w:t>“</w:t>
      </w:r>
      <w:r>
        <w:rPr>
          <w:rStyle w:val="Ohne"/>
          <w:rtl w:val="0"/>
          <w:lang w:val="en-US"/>
        </w:rPr>
        <w:t>en-rules are</w:t>
      </w:r>
      <w:r>
        <w:rPr>
          <w:rStyle w:val="Ohne"/>
          <w:rtl w:val="0"/>
          <w:lang w:val="en-US"/>
        </w:rPr>
        <w:t>—</w:t>
      </w:r>
      <w:r>
        <w:rPr>
          <w:rStyle w:val="Ohne"/>
          <w:rtl w:val="0"/>
          <w:lang w:val="en-US"/>
        </w:rPr>
        <w:t>according to Hart</w:t>
      </w:r>
      <w:r>
        <w:rPr>
          <w:rStyle w:val="Ohne"/>
          <w:rtl w:val="0"/>
          <w:lang w:val="en-US"/>
        </w:rPr>
        <w:t>’</w:t>
      </w:r>
      <w:r>
        <w:rPr>
          <w:rStyle w:val="Ohne"/>
          <w:rtl w:val="0"/>
          <w:lang w:val="en-US"/>
        </w:rPr>
        <w:t>s rules</w:t>
      </w:r>
      <w:r>
        <w:rPr>
          <w:rStyle w:val="Ohne"/>
          <w:rtl w:val="0"/>
          <w:lang w:val="en-US"/>
        </w:rPr>
        <w:t>—</w:t>
      </w:r>
      <w:r>
        <w:rPr>
          <w:rStyle w:val="Ohne"/>
          <w:rtl w:val="0"/>
          <w:lang w:val="en-US"/>
        </w:rPr>
        <w:t>the most appropriate for London journals</w:t>
      </w:r>
      <w:r>
        <w:rPr>
          <w:rStyle w:val="Ohne"/>
          <w:rtl w:val="0"/>
          <w:lang w:val="en-US"/>
        </w:rPr>
        <w:t>”</w:t>
      </w:r>
      <w:r>
        <w:rPr>
          <w:rStyle w:val="Ohne"/>
          <w:rtl w:val="0"/>
          <w:lang w:val="en-US"/>
        </w:rPr>
        <w:t xml:space="preserve">. En-rules should be used to indicate ranges, rather than hyphens. E.g. </w:t>
      </w:r>
      <w:r>
        <w:rPr>
          <w:rStyle w:val="Ohne"/>
          <w:rtl w:val="0"/>
          <w:lang w:val="en-US"/>
        </w:rPr>
        <w:t>‘</w:t>
      </w:r>
      <w:r>
        <w:rPr>
          <w:rStyle w:val="Ohne"/>
          <w:rtl w:val="0"/>
          <w:lang w:val="en-US"/>
        </w:rPr>
        <w:t>136</w:t>
      </w:r>
      <w:r>
        <w:rPr>
          <w:rStyle w:val="Ohne"/>
          <w:rtl w:val="0"/>
          <w:lang w:val="en-US"/>
        </w:rPr>
        <w:t>–</w:t>
      </w:r>
      <w:r>
        <w:rPr>
          <w:rStyle w:val="Ohne"/>
          <w:rtl w:val="0"/>
          <w:lang w:val="en-US"/>
        </w:rPr>
        <w:t>234</w:t>
      </w:r>
      <w:r>
        <w:rPr>
          <w:rStyle w:val="Ohne"/>
          <w:rtl w:val="0"/>
          <w:lang w:val="en-US"/>
        </w:rPr>
        <w:t>’</w:t>
      </w:r>
      <w:r>
        <w:rPr>
          <w:rStyle w:val="Ohne"/>
          <w:rtl w:val="0"/>
          <w:lang w:val="en-US"/>
        </w:rPr>
        <w:t xml:space="preserve">. NOT: </w:t>
      </w:r>
      <w:r>
        <w:rPr>
          <w:rStyle w:val="Ohne"/>
          <w:rtl w:val="0"/>
          <w:lang w:val="en-US"/>
        </w:rPr>
        <w:t>‘</w:t>
      </w:r>
      <w:r>
        <w:rPr>
          <w:rStyle w:val="Ohne"/>
          <w:rtl w:val="0"/>
          <w:lang w:val="en-US"/>
        </w:rPr>
        <w:t>135-234</w:t>
      </w:r>
      <w:r>
        <w:rPr>
          <w:rStyle w:val="Ohne"/>
          <w:rtl w:val="0"/>
          <w:lang w:val="en-US"/>
        </w:rPr>
        <w:t>’</w:t>
      </w:r>
      <w:r>
        <w:rPr>
          <w:rStyle w:val="Ohne"/>
          <w:rtl w:val="0"/>
          <w:lang w:val="en-US"/>
        </w:rPr>
        <w:t xml:space="preserve">. (See also </w:t>
      </w:r>
      <w:r>
        <w:rPr>
          <w:rStyle w:val="Ohne"/>
          <w:rtl w:val="0"/>
          <w:lang w:val="en-US"/>
        </w:rPr>
        <w:t>“</w:t>
      </w:r>
      <w:r>
        <w:rPr>
          <w:rStyle w:val="Ohne"/>
          <w:rtl w:val="0"/>
          <w:lang w:val="fr-FR"/>
        </w:rPr>
        <w:t>References</w:t>
      </w:r>
      <w:r>
        <w:rPr>
          <w:rStyle w:val="Ohne"/>
          <w:rtl w:val="0"/>
          <w:lang w:val="en-US"/>
        </w:rPr>
        <w:t>”</w:t>
      </w:r>
      <w:r>
        <w:rPr>
          <w:rStyle w:val="Ohne"/>
          <w:rtl w:val="0"/>
          <w:lang w:val="en-US"/>
        </w:rPr>
        <w:t>, below)</w:t>
      </w:r>
    </w:p>
    <w:p>
      <w:pPr>
        <w:pStyle w:val="List Paragraph"/>
        <w:numPr>
          <w:ilvl w:val="0"/>
          <w:numId w:val="4"/>
        </w:numPr>
        <w:rPr>
          <w:lang w:val="en-US"/>
        </w:rPr>
      </w:pPr>
      <w:r>
        <w:rPr>
          <w:rStyle w:val="Ohne"/>
          <w:b w:val="1"/>
          <w:bCs w:val="1"/>
          <w:rtl w:val="0"/>
          <w:lang w:val="en-US"/>
        </w:rPr>
        <w:t>Headings</w:t>
      </w:r>
      <w:r>
        <w:rPr>
          <w:rStyle w:val="Ohne"/>
          <w:rtl w:val="0"/>
          <w:lang w:val="en-US"/>
        </w:rPr>
        <w:t>, sub-headings, table headings and figure captions should not have full stops.</w:t>
      </w:r>
    </w:p>
    <w:p>
      <w:pPr>
        <w:pStyle w:val="List Paragraph"/>
        <w:numPr>
          <w:ilvl w:val="0"/>
          <w:numId w:val="4"/>
        </w:numPr>
        <w:rPr>
          <w:lang w:val="en-US"/>
        </w:rPr>
      </w:pPr>
      <w:r>
        <w:rPr>
          <w:rStyle w:val="Ohne"/>
          <w:rtl w:val="0"/>
          <w:lang w:val="en-US"/>
        </w:rPr>
        <w:t xml:space="preserve">Parentheses (or </w:t>
      </w:r>
      <w:r>
        <w:rPr>
          <w:rStyle w:val="Ohne"/>
          <w:b w:val="1"/>
          <w:bCs w:val="1"/>
          <w:rtl w:val="0"/>
          <w:lang w:val="en-US"/>
        </w:rPr>
        <w:t>round brackets</w:t>
      </w:r>
      <w:r>
        <w:rPr>
          <w:rStyle w:val="Ohne"/>
          <w:rtl w:val="0"/>
          <w:lang w:val="en-US"/>
        </w:rPr>
        <w:t xml:space="preserve">) are used for simple interpolations, and </w:t>
      </w:r>
      <w:r>
        <w:rPr>
          <w:rStyle w:val="Ohne"/>
          <w:b w:val="1"/>
          <w:bCs w:val="1"/>
          <w:rtl w:val="0"/>
          <w:lang w:val="en-US"/>
        </w:rPr>
        <w:t>square brackets</w:t>
      </w:r>
      <w:r>
        <w:rPr>
          <w:rStyle w:val="Ohne"/>
          <w:rtl w:val="0"/>
          <w:lang w:val="en-US"/>
        </w:rPr>
        <w:t xml:space="preserve"> for editorial notes or interpolations in quotations.</w:t>
      </w:r>
    </w:p>
    <w:p>
      <w:pPr>
        <w:pStyle w:val="List Paragraph"/>
        <w:numPr>
          <w:ilvl w:val="0"/>
          <w:numId w:val="4"/>
        </w:numPr>
        <w:rPr>
          <w:lang w:val="en-US"/>
        </w:rPr>
      </w:pPr>
      <w:r>
        <w:rPr>
          <w:rStyle w:val="Ohne"/>
          <w:rtl w:val="0"/>
          <w:lang w:val="en-US"/>
        </w:rPr>
        <w:t xml:space="preserve">Please refer to other papers included in this volume as </w:t>
      </w:r>
      <w:r>
        <w:rPr>
          <w:rStyle w:val="Ohne"/>
          <w:b w:val="1"/>
          <w:bCs w:val="1"/>
          <w:rtl w:val="0"/>
          <w:lang w:val="nl-NL"/>
        </w:rPr>
        <w:t>Chapters</w:t>
      </w:r>
      <w:r>
        <w:rPr>
          <w:rStyle w:val="Ohne"/>
          <w:rtl w:val="0"/>
          <w:lang w:val="en-US"/>
        </w:rPr>
        <w:t xml:space="preserve">, e.g. </w:t>
      </w:r>
      <w:r>
        <w:rPr>
          <w:rStyle w:val="Ohne"/>
          <w:rtl w:val="0"/>
          <w:lang w:val="en-US"/>
        </w:rPr>
        <w:t>“</w:t>
      </w:r>
      <w:r>
        <w:rPr>
          <w:rStyle w:val="Ohne"/>
          <w:rtl w:val="0"/>
          <w:lang w:val="en-US"/>
        </w:rPr>
        <w:t>As discussed in Ingolf Max</w:t>
      </w:r>
      <w:r>
        <w:rPr>
          <w:rStyle w:val="Ohne"/>
          <w:rtl w:val="0"/>
          <w:lang w:val="en-US"/>
        </w:rPr>
        <w:t>’</w:t>
      </w:r>
      <w:r>
        <w:rPr>
          <w:rStyle w:val="Ohne"/>
          <w:rtl w:val="0"/>
          <w:lang w:val="en-US"/>
        </w:rPr>
        <w:t>s Chapter in this Volume.</w:t>
      </w:r>
      <w:r>
        <w:rPr>
          <w:rStyle w:val="Ohne"/>
          <w:rtl w:val="0"/>
          <w:lang w:val="en-US"/>
        </w:rPr>
        <w:t xml:space="preserve">” </w:t>
      </w:r>
      <w:r>
        <w:rPr>
          <w:rStyle w:val="Ohne"/>
          <w:rtl w:val="0"/>
          <w:lang w:val="en-US"/>
        </w:rPr>
        <w:t xml:space="preserve">Number </w:t>
      </w:r>
      <w:r>
        <w:rPr>
          <w:rStyle w:val="Ohne"/>
          <w:b w:val="1"/>
          <w:bCs w:val="1"/>
          <w:rtl w:val="0"/>
          <w:lang w:val="en-US"/>
        </w:rPr>
        <w:t>Sections</w:t>
      </w:r>
      <w:r>
        <w:rPr>
          <w:rStyle w:val="Ohne"/>
          <w:rtl w:val="0"/>
          <w:lang w:val="en-US"/>
        </w:rPr>
        <w:t xml:space="preserve"> of your text 1, 2, 3 and refer to them in the text as Section 1, Section 2, Section 3.</w:t>
      </w:r>
    </w:p>
    <w:p>
      <w:pPr>
        <w:pStyle w:val="List Paragraph"/>
        <w:numPr>
          <w:ilvl w:val="0"/>
          <w:numId w:val="4"/>
        </w:numPr>
        <w:rPr>
          <w:lang w:val="en-US"/>
        </w:rPr>
      </w:pPr>
      <w:r>
        <w:rPr>
          <w:rStyle w:val="Ohne"/>
          <w:b w:val="1"/>
          <w:bCs w:val="1"/>
          <w:rtl w:val="0"/>
          <w:lang w:val="en-US"/>
        </w:rPr>
        <w:t>Tables and figures</w:t>
      </w:r>
      <w:r>
        <w:rPr>
          <w:rStyle w:val="Ohne"/>
          <w:rtl w:val="0"/>
          <w:lang w:val="en-US"/>
        </w:rPr>
        <w:t xml:space="preserve"> are normally numbered 1.1, 1.2, 2.1, 2.2, and A.1, A.2 in appendixes. In the text please refer to Table 2.1, Figure 3.2.</w:t>
      </w:r>
    </w:p>
    <w:p>
      <w:pPr>
        <w:pStyle w:val="List Paragraph"/>
        <w:numPr>
          <w:ilvl w:val="0"/>
          <w:numId w:val="4"/>
        </w:numPr>
        <w:rPr>
          <w:lang w:val="en-US"/>
        </w:rPr>
      </w:pPr>
      <w:r>
        <w:rPr>
          <w:rStyle w:val="Ohne"/>
          <w:b w:val="1"/>
          <w:bCs w:val="1"/>
          <w:rtl w:val="0"/>
          <w:lang w:val="en-US"/>
        </w:rPr>
        <w:t>Cross-references</w:t>
      </w:r>
      <w:r>
        <w:rPr>
          <w:rStyle w:val="Ohne"/>
          <w:rtl w:val="0"/>
          <w:lang w:val="en-US"/>
        </w:rPr>
        <w:t xml:space="preserve"> to other pages within the book can cause problems at proof stage. If possible please refer to chapters or sections of text rather than to pages.</w:t>
      </w:r>
    </w:p>
    <w:p>
      <w:pPr>
        <w:pStyle w:val="List Paragraph"/>
        <w:numPr>
          <w:ilvl w:val="0"/>
          <w:numId w:val="4"/>
        </w:numPr>
        <w:rPr>
          <w:lang w:val="en-US"/>
        </w:rPr>
      </w:pPr>
      <w:r>
        <w:rPr>
          <w:rStyle w:val="Ohne"/>
          <w:rtl w:val="0"/>
          <w:lang w:val="en-US"/>
        </w:rPr>
        <w:t xml:space="preserve">Try to </w:t>
      </w:r>
      <w:r>
        <w:rPr>
          <w:rStyle w:val="Ohne"/>
          <w:b w:val="1"/>
          <w:bCs w:val="1"/>
          <w:rtl w:val="0"/>
          <w:lang w:val="en-US"/>
        </w:rPr>
        <w:t>use gender-neutral language</w:t>
      </w:r>
      <w:r>
        <w:rPr>
          <w:rStyle w:val="Ohne"/>
          <w:rtl w:val="0"/>
          <w:lang w:val="en-US"/>
        </w:rPr>
        <w:t xml:space="preserve"> where possible: </w:t>
      </w:r>
      <w:r>
        <w:rPr>
          <w:rStyle w:val="Ohne"/>
          <w:rtl w:val="0"/>
          <w:lang w:val="en-US"/>
        </w:rPr>
        <w:t>“</w:t>
      </w:r>
      <w:r>
        <w:rPr>
          <w:rStyle w:val="Ohne"/>
          <w:rtl w:val="0"/>
          <w:lang w:val="en-US"/>
        </w:rPr>
        <w:t>his or her</w:t>
      </w:r>
      <w:r>
        <w:rPr>
          <w:rStyle w:val="Ohne"/>
          <w:rtl w:val="0"/>
          <w:lang w:val="en-US"/>
        </w:rPr>
        <w:t xml:space="preserve">” </w:t>
      </w:r>
      <w:r>
        <w:rPr>
          <w:rStyle w:val="Ohne"/>
          <w:rtl w:val="0"/>
          <w:lang w:val="en-US"/>
        </w:rPr>
        <w:t xml:space="preserve">or </w:t>
      </w:r>
      <w:r>
        <w:rPr>
          <w:rStyle w:val="Ohne"/>
          <w:rtl w:val="0"/>
          <w:lang w:val="en-US"/>
        </w:rPr>
        <w:t>“</w:t>
      </w:r>
      <w:r>
        <w:rPr>
          <w:rStyle w:val="Ohne"/>
          <w:rtl w:val="0"/>
          <w:lang w:val="en-US"/>
        </w:rPr>
        <w:t>their</w:t>
      </w:r>
      <w:r>
        <w:rPr>
          <w:rStyle w:val="Ohne"/>
          <w:rtl w:val="0"/>
          <w:lang w:val="en-US"/>
        </w:rPr>
        <w:t xml:space="preserve">” </w:t>
      </w:r>
      <w:r>
        <w:rPr>
          <w:rStyle w:val="Ohne"/>
          <w:rtl w:val="0"/>
          <w:lang w:val="en-US"/>
        </w:rPr>
        <w:t xml:space="preserve">rather than just </w:t>
      </w:r>
      <w:r>
        <w:rPr>
          <w:rStyle w:val="Ohne"/>
          <w:rtl w:val="0"/>
          <w:lang w:val="en-US"/>
        </w:rPr>
        <w:t>“</w:t>
      </w:r>
      <w:r>
        <w:rPr>
          <w:rStyle w:val="Ohne"/>
          <w:rtl w:val="0"/>
          <w:lang w:val="en-US"/>
        </w:rPr>
        <w:t>his</w:t>
      </w:r>
      <w:r>
        <w:rPr>
          <w:rStyle w:val="Ohne"/>
          <w:rtl w:val="0"/>
          <w:lang w:val="en-US"/>
        </w:rPr>
        <w:t>”</w:t>
      </w:r>
      <w:r>
        <w:rPr>
          <w:rStyle w:val="Ohne"/>
          <w:rtl w:val="0"/>
          <w:lang w:val="en-US"/>
        </w:rPr>
        <w:t>.</w:t>
      </w:r>
    </w:p>
    <w:p>
      <w:pPr>
        <w:pStyle w:val="List Paragraph"/>
        <w:ind w:left="0" w:firstLine="0"/>
      </w:pPr>
    </w:p>
    <w:p>
      <w:pPr>
        <w:pStyle w:val="Überschrift 2"/>
      </w:pPr>
      <w:r>
        <w:rPr>
          <w:rStyle w:val="Ohne"/>
          <w:rtl w:val="0"/>
          <w:lang w:val="fr-FR"/>
        </w:rPr>
        <w:t>References</w:t>
      </w:r>
    </w:p>
    <w:p>
      <w:pPr>
        <w:pStyle w:val="List Paragraph"/>
        <w:numPr>
          <w:ilvl w:val="0"/>
          <w:numId w:val="8"/>
        </w:numPr>
        <w:rPr>
          <w:lang w:val="en-US"/>
        </w:rPr>
      </w:pPr>
      <w:r>
        <w:rPr>
          <w:rStyle w:val="Ohne"/>
          <w:rtl w:val="0"/>
          <w:lang w:val="en-US"/>
        </w:rPr>
        <w:t xml:space="preserve">Include a list of works you refer to at the end of your text, headed </w:t>
      </w:r>
      <w:r>
        <w:rPr>
          <w:rStyle w:val="Ohne"/>
          <w:rtl w:val="0"/>
          <w:lang w:val="en-US"/>
        </w:rPr>
        <w:t>‘</w:t>
      </w:r>
      <w:r>
        <w:rPr>
          <w:rStyle w:val="Ohne"/>
          <w:rtl w:val="0"/>
          <w:lang w:val="en-US"/>
        </w:rPr>
        <w:t>References</w:t>
      </w:r>
      <w:r>
        <w:rPr>
          <w:rStyle w:val="Ohne"/>
          <w:rtl w:val="0"/>
          <w:lang w:val="en-US"/>
        </w:rPr>
        <w:t>’</w:t>
      </w:r>
      <w:r>
        <w:rPr>
          <w:rStyle w:val="Ohne"/>
          <w:rtl w:val="0"/>
          <w:lang w:val="en-US"/>
        </w:rPr>
        <w:t>.</w:t>
      </w:r>
    </w:p>
    <w:p>
      <w:pPr>
        <w:pStyle w:val="List Paragraph"/>
        <w:numPr>
          <w:ilvl w:val="0"/>
          <w:numId w:val="8"/>
        </w:numPr>
        <w:rPr>
          <w:lang w:val="en-US"/>
        </w:rPr>
      </w:pPr>
      <w:r>
        <w:rPr>
          <w:rtl w:val="0"/>
          <w:lang w:val="en-US"/>
        </w:rPr>
        <w:t xml:space="preserve">Omit place of publication. E.g. instead of </w:t>
      </w:r>
      <w:r>
        <w:rPr>
          <w:rtl w:val="0"/>
          <w:lang w:val="en-US"/>
        </w:rPr>
        <w:t>‘</w:t>
      </w:r>
      <w:r>
        <w:rPr>
          <w:rtl w:val="0"/>
          <w:lang w:val="en-US"/>
        </w:rPr>
        <w:t>London: Routledge</w:t>
      </w:r>
      <w:r>
        <w:rPr>
          <w:rtl w:val="0"/>
          <w:lang w:val="en-US"/>
        </w:rPr>
        <w:t>’</w:t>
      </w:r>
      <w:r>
        <w:rPr>
          <w:rtl w:val="0"/>
          <w:lang w:val="en-US"/>
        </w:rPr>
        <w:t xml:space="preserve">, simply write </w:t>
      </w:r>
      <w:r>
        <w:rPr>
          <w:rtl w:val="0"/>
          <w:lang w:val="en-US"/>
        </w:rPr>
        <w:t>‘</w:t>
      </w:r>
      <w:r>
        <w:rPr>
          <w:rtl w:val="0"/>
          <w:lang w:val="en-US"/>
        </w:rPr>
        <w:t>Routledge</w:t>
      </w:r>
      <w:r>
        <w:rPr>
          <w:rtl w:val="0"/>
          <w:lang w:val="en-US"/>
        </w:rPr>
        <w:t>’</w:t>
      </w:r>
      <w:r>
        <w:rPr>
          <w:rtl w:val="0"/>
          <w:lang w:val="en-US"/>
        </w:rPr>
        <w:t>.</w:t>
      </w:r>
    </w:p>
    <w:p>
      <w:pPr>
        <w:pStyle w:val="List Paragraph"/>
        <w:numPr>
          <w:ilvl w:val="0"/>
          <w:numId w:val="8"/>
        </w:numPr>
        <w:rPr>
          <w:lang w:val="en-US"/>
        </w:rPr>
      </w:pPr>
      <w:r>
        <w:rPr>
          <w:rStyle w:val="Ohne"/>
          <w:rtl w:val="0"/>
          <w:lang w:val="en-US"/>
        </w:rPr>
        <w:t>Do not include Wittgenstein</w:t>
      </w:r>
      <w:r>
        <w:rPr>
          <w:rStyle w:val="Ohne"/>
          <w:rtl w:val="0"/>
          <w:lang w:val="en-US"/>
        </w:rPr>
        <w:t>’</w:t>
      </w:r>
      <w:r>
        <w:rPr>
          <w:rStyle w:val="Ohne"/>
          <w:rtl w:val="0"/>
          <w:lang w:val="en-US"/>
        </w:rPr>
        <w:t>s works.</w:t>
      </w:r>
    </w:p>
    <w:p>
      <w:pPr>
        <w:pStyle w:val="List Paragraph"/>
        <w:numPr>
          <w:ilvl w:val="0"/>
          <w:numId w:val="8"/>
        </w:numPr>
        <w:rPr>
          <w:lang w:val="en-US"/>
        </w:rPr>
      </w:pPr>
      <w:r>
        <w:rPr>
          <w:rStyle w:val="Ohne"/>
          <w:rtl w:val="0"/>
          <w:lang w:val="en-US"/>
        </w:rPr>
        <w:t xml:space="preserve">How to cite a monograph: </w:t>
      </w:r>
    </w:p>
    <w:p>
      <w:pPr>
        <w:pStyle w:val="Text"/>
        <w:spacing w:after="0"/>
        <w:ind w:right="267"/>
        <w:jc w:val="right"/>
      </w:pPr>
      <w:r>
        <w:rPr>
          <w:rStyle w:val="Ohne"/>
          <w:rtl w:val="0"/>
          <w:lang w:val="en-US"/>
        </w:rPr>
        <w:t>[Surname], [First name]: [</w:t>
      </w:r>
      <w:r>
        <w:rPr>
          <w:rStyle w:val="Ohne"/>
          <w:i w:val="1"/>
          <w:iCs w:val="1"/>
          <w:rtl w:val="0"/>
          <w:lang w:val="de-DE"/>
        </w:rPr>
        <w:t>Title</w:t>
      </w:r>
      <w:r>
        <w:rPr>
          <w:rStyle w:val="Ohne"/>
          <w:rtl w:val="0"/>
        </w:rPr>
        <w:t>]. [</w:t>
      </w:r>
      <w:r>
        <w:rPr>
          <w:rStyle w:val="Ohne"/>
          <w:i w:val="1"/>
          <w:iCs w:val="1"/>
          <w:rtl w:val="0"/>
          <w:lang w:val="en-US"/>
        </w:rPr>
        <w:t>Subtitle</w:t>
      </w:r>
      <w:r>
        <w:rPr>
          <w:rStyle w:val="Ohne"/>
          <w:rtl w:val="0"/>
          <w:lang w:val="en-US"/>
        </w:rPr>
        <w:t>], [Edition],</w:t>
      </w:r>
      <w:r>
        <w:rPr>
          <w:rStyle w:val="Ohne"/>
          <w:rtl w:val="0"/>
          <w:lang w:val="de-DE"/>
        </w:rPr>
        <w:t xml:space="preserve"> </w:t>
      </w:r>
      <w:r>
        <w:rPr>
          <w:rStyle w:val="Ohne"/>
          <w:rtl w:val="0"/>
          <w:lang w:val="en-US"/>
        </w:rPr>
        <w:t>[Publisher], [year of publication].</w:t>
      </w:r>
    </w:p>
    <w:p>
      <w:pPr>
        <w:pStyle w:val="Text"/>
        <w:spacing w:after="0"/>
      </w:pPr>
      <w:r>
        <w:rPr>
          <w:rStyle w:val="Ohne"/>
          <w:rtl w:val="0"/>
        </w:rPr>
        <w:t xml:space="preserve"> </w:t>
        <w:tab/>
        <w:t xml:space="preserve"> </w:t>
      </w:r>
    </w:p>
    <w:p>
      <w:pPr>
        <w:pStyle w:val="Text"/>
        <w:spacing w:after="0"/>
        <w:ind w:right="136"/>
        <w:jc w:val="right"/>
        <w:rPr>
          <w:rStyle w:val="Ohne"/>
        </w:rPr>
      </w:pPr>
      <w:r>
        <w:rPr>
          <w:rStyle w:val="Ohne"/>
          <w:rtl w:val="0"/>
          <w:lang w:val="de-DE"/>
        </w:rPr>
        <w:t xml:space="preserve">Schulte, Joachim: </w:t>
      </w:r>
      <w:r>
        <w:rPr>
          <w:rStyle w:val="Ohne"/>
          <w:i w:val="1"/>
          <w:iCs w:val="1"/>
          <w:rtl w:val="0"/>
          <w:lang w:val="de-DE"/>
        </w:rPr>
        <w:t>Ludwig Wittgenstein. Leben, Werk, Wirkung</w:t>
      </w:r>
      <w:r>
        <w:rPr>
          <w:rStyle w:val="Ohne"/>
          <w:rtl w:val="0"/>
          <w:lang w:val="de-DE"/>
        </w:rPr>
        <w:t xml:space="preserve">, Suhrkamp, 2005. </w:t>
      </w:r>
    </w:p>
    <w:p>
      <w:pPr>
        <w:pStyle w:val="Text"/>
        <w:spacing w:after="0"/>
        <w:rPr>
          <w:rStyle w:val="Ohne"/>
        </w:rPr>
      </w:pPr>
      <w:r>
        <w:rPr>
          <w:rStyle w:val="Ohne"/>
          <w:rtl w:val="0"/>
          <w:lang w:val="de-DE"/>
        </w:rPr>
        <w:t xml:space="preserve"> </w:t>
      </w:r>
    </w:p>
    <w:p>
      <w:pPr>
        <w:pStyle w:val="List Paragraph"/>
        <w:numPr>
          <w:ilvl w:val="0"/>
          <w:numId w:val="8"/>
        </w:numPr>
        <w:rPr>
          <w:lang w:val="en-US"/>
        </w:rPr>
      </w:pPr>
      <w:r>
        <w:rPr>
          <w:rStyle w:val="Ohne"/>
          <w:rtl w:val="0"/>
          <w:lang w:val="en-US"/>
        </w:rPr>
        <w:t xml:space="preserve">How to cite collective works: </w:t>
      </w:r>
    </w:p>
    <w:p>
      <w:pPr>
        <w:pStyle w:val="Text"/>
        <w:spacing w:after="0"/>
        <w:ind w:right="136"/>
        <w:jc w:val="right"/>
      </w:pPr>
      <w:r>
        <w:rPr>
          <w:rStyle w:val="Ohne"/>
          <w:rtl w:val="0"/>
          <w:lang w:val="en-US"/>
        </w:rPr>
        <w:t xml:space="preserve">[Surname], [First name]: </w:t>
      </w:r>
      <w:r>
        <w:rPr>
          <w:rStyle w:val="Ohne"/>
          <w:rtl w:val="0"/>
        </w:rPr>
        <w:t>“</w:t>
      </w:r>
      <w:r>
        <w:rPr>
          <w:rStyle w:val="Ohne"/>
          <w:rtl w:val="0"/>
        </w:rPr>
        <w:t>[Title]</w:t>
      </w:r>
      <w:r>
        <w:rPr>
          <w:rStyle w:val="Ohne"/>
          <w:rtl w:val="0"/>
        </w:rPr>
        <w:t>”</w:t>
      </w:r>
      <w:r>
        <w:rPr>
          <w:rStyle w:val="Ohne"/>
          <w:rtl w:val="0"/>
          <w:lang w:val="en-US"/>
        </w:rPr>
        <w:t>, in: [Editor]: [</w:t>
      </w:r>
      <w:r>
        <w:rPr>
          <w:rStyle w:val="Ohne"/>
          <w:i w:val="1"/>
          <w:iCs w:val="1"/>
          <w:rtl w:val="0"/>
          <w:lang w:val="de-DE"/>
        </w:rPr>
        <w:t>Title</w:t>
      </w:r>
      <w:r>
        <w:rPr>
          <w:rStyle w:val="Ohne"/>
          <w:rtl w:val="0"/>
          <w:lang w:val="en-US"/>
        </w:rPr>
        <w:t>], [Publisher], [year of publication].</w:t>
      </w:r>
    </w:p>
    <w:p>
      <w:pPr>
        <w:pStyle w:val="Text"/>
        <w:spacing w:after="0"/>
      </w:pPr>
      <w:r>
        <w:rPr>
          <w:rStyle w:val="Ohne"/>
          <w:rtl w:val="0"/>
        </w:rPr>
        <w:t xml:space="preserve"> </w:t>
        <w:tab/>
        <w:t xml:space="preserve"> </w:t>
      </w:r>
    </w:p>
    <w:p>
      <w:pPr>
        <w:pStyle w:val="Text"/>
        <w:ind w:left="1090" w:firstLine="0"/>
      </w:pPr>
      <w:r>
        <w:rPr>
          <w:rStyle w:val="Ohne"/>
          <w:rtl w:val="0"/>
          <w:lang w:val="de-DE"/>
        </w:rPr>
        <w:t xml:space="preserve">Majetschak, Stefan: </w:t>
      </w:r>
      <w:r>
        <w:rPr>
          <w:rStyle w:val="Ohne"/>
          <w:rtl w:val="0"/>
          <w:lang w:val="de-DE"/>
        </w:rPr>
        <w:t>“</w:t>
      </w:r>
      <w:r>
        <w:rPr>
          <w:rStyle w:val="Ohne"/>
          <w:rtl w:val="0"/>
          <w:lang w:val="de-DE"/>
        </w:rPr>
        <w:t>Ludwig Wittgenstein</w:t>
      </w:r>
      <w:r>
        <w:rPr>
          <w:rStyle w:val="Ohne"/>
          <w:rtl w:val="0"/>
          <w:lang w:val="de-DE"/>
        </w:rPr>
        <w:t>”</w:t>
      </w:r>
      <w:r>
        <w:rPr>
          <w:rStyle w:val="Ohne"/>
          <w:rtl w:val="0"/>
          <w:lang w:val="de-DE"/>
        </w:rPr>
        <w:t xml:space="preserve">, in: Tilman Borsche (ed.): </w:t>
      </w:r>
      <w:r>
        <w:rPr>
          <w:rStyle w:val="Ohne"/>
          <w:i w:val="1"/>
          <w:iCs w:val="1"/>
          <w:rtl w:val="0"/>
          <w:lang w:val="de-DE"/>
        </w:rPr>
        <w:t>Klassiker der Sprachphilosophie. Von Platon bis Noam Chomsky</w:t>
      </w:r>
      <w:r>
        <w:rPr>
          <w:rStyle w:val="Ohne"/>
          <w:rtl w:val="0"/>
          <w:lang w:val="it-IT"/>
        </w:rPr>
        <w:t xml:space="preserve">, C.H. Beck, 1996. </w:t>
      </w:r>
    </w:p>
    <w:p>
      <w:pPr>
        <w:pStyle w:val="List Paragraph"/>
        <w:numPr>
          <w:ilvl w:val="0"/>
          <w:numId w:val="8"/>
        </w:numPr>
        <w:spacing w:after="0"/>
        <w:rPr>
          <w:lang w:val="en-US"/>
        </w:rPr>
      </w:pPr>
      <w:r>
        <w:rPr>
          <w:rStyle w:val="Ohne"/>
          <w:rtl w:val="0"/>
          <w:lang w:val="en-US"/>
        </w:rPr>
        <w:t xml:space="preserve">In the bibliography the first names are written in full. </w:t>
      </w:r>
    </w:p>
    <w:p>
      <w:pPr>
        <w:pStyle w:val="List Paragraph"/>
        <w:numPr>
          <w:ilvl w:val="0"/>
          <w:numId w:val="8"/>
        </w:numPr>
        <w:rPr>
          <w:lang w:val="en-US"/>
        </w:rPr>
      </w:pPr>
      <w:r>
        <w:rPr>
          <w:rStyle w:val="Ohne"/>
          <w:rtl w:val="0"/>
          <w:lang w:val="en-US"/>
        </w:rPr>
        <w:t>Examples:</w:t>
      </w:r>
    </w:p>
    <w:p>
      <w:pPr>
        <w:pStyle w:val="Text"/>
        <w:ind w:left="708" w:firstLine="0"/>
      </w:pPr>
      <w:r>
        <w:rPr>
          <w:rStyle w:val="Ohne"/>
          <w:rtl w:val="0"/>
          <w:lang w:val="en-US"/>
        </w:rPr>
        <w:t xml:space="preserve">Kenny, Anthony: </w:t>
      </w:r>
      <w:r>
        <w:rPr>
          <w:rStyle w:val="Ohne"/>
          <w:i w:val="1"/>
          <w:iCs w:val="1"/>
          <w:rtl w:val="0"/>
          <w:lang w:val="en-US"/>
        </w:rPr>
        <w:t>What is Faith? Essays in the Philosophy of Religion</w:t>
      </w:r>
      <w:r>
        <w:rPr>
          <w:rStyle w:val="Ohne"/>
          <w:rtl w:val="0"/>
          <w:lang w:val="en-US"/>
        </w:rPr>
        <w:t>, Oxford University Press, 1992.</w:t>
      </w:r>
    </w:p>
    <w:p>
      <w:pPr>
        <w:pStyle w:val="Text"/>
        <w:ind w:left="708" w:firstLine="0"/>
      </w:pPr>
      <w:r>
        <w:rPr>
          <w:rStyle w:val="Ohne"/>
          <w:rtl w:val="0"/>
          <w:lang w:val="en-US"/>
        </w:rPr>
        <w:t xml:space="preserve">Crary, Alice and Read, Rupert (eds.): </w:t>
      </w:r>
      <w:r>
        <w:rPr>
          <w:rStyle w:val="Ohne"/>
          <w:i w:val="1"/>
          <w:iCs w:val="1"/>
          <w:rtl w:val="0"/>
          <w:lang w:val="nl-NL"/>
        </w:rPr>
        <w:t>The New Wittgenstein</w:t>
      </w:r>
      <w:r>
        <w:rPr>
          <w:rStyle w:val="Ohne"/>
          <w:rtl w:val="0"/>
          <w:lang w:val="en-US"/>
        </w:rPr>
        <w:t>, Routledge, 2000.</w:t>
      </w:r>
    </w:p>
    <w:p>
      <w:pPr>
        <w:pStyle w:val="Text"/>
        <w:ind w:left="708" w:firstLine="0"/>
      </w:pPr>
      <w:r>
        <w:rPr>
          <w:rStyle w:val="Ohne"/>
          <w:rtl w:val="0"/>
          <w:lang w:val="de-DE"/>
        </w:rPr>
        <w:t xml:space="preserve">Heidegger, Martin: </w:t>
      </w:r>
      <w:r>
        <w:rPr>
          <w:rStyle w:val="Ohne"/>
          <w:i w:val="1"/>
          <w:iCs w:val="1"/>
          <w:rtl w:val="0"/>
          <w:lang w:val="en-US"/>
        </w:rPr>
        <w:t>Being and Time</w:t>
      </w:r>
      <w:r>
        <w:rPr>
          <w:rStyle w:val="Ohne"/>
          <w:rtl w:val="0"/>
          <w:lang w:val="en-US"/>
        </w:rPr>
        <w:t>, trans. J. Macquarrie and E. Robinson, Blackwell, 1962.</w:t>
      </w:r>
    </w:p>
    <w:p>
      <w:pPr>
        <w:pStyle w:val="Text"/>
        <w:ind w:left="708" w:firstLine="0"/>
      </w:pPr>
      <w:r>
        <w:rPr>
          <w:rStyle w:val="Ohne"/>
          <w:rtl w:val="0"/>
          <w:lang w:val="de-DE"/>
        </w:rPr>
        <w:t xml:space="preserve">Cohen, Steward: </w:t>
      </w:r>
      <w:r>
        <w:rPr>
          <w:rStyle w:val="Ohne"/>
          <w:rtl w:val="0"/>
        </w:rPr>
        <w:t>“</w:t>
      </w:r>
      <w:r>
        <w:rPr>
          <w:rStyle w:val="Ohne"/>
          <w:rtl w:val="0"/>
          <w:lang w:val="en-US"/>
        </w:rPr>
        <w:t>Contextualism and Skepticism</w:t>
      </w:r>
      <w:r>
        <w:rPr>
          <w:rStyle w:val="Ohne"/>
          <w:rtl w:val="0"/>
        </w:rPr>
        <w:t>”</w:t>
      </w:r>
      <w:r>
        <w:rPr>
          <w:rStyle w:val="Ohne"/>
          <w:rtl w:val="0"/>
        </w:rPr>
        <w:t xml:space="preserve">, </w:t>
      </w:r>
      <w:r>
        <w:rPr>
          <w:rStyle w:val="Ohne"/>
          <w:i w:val="1"/>
          <w:iCs w:val="1"/>
          <w:rtl w:val="0"/>
          <w:lang w:val="en-US"/>
        </w:rPr>
        <w:t>Philosophical Issues</w:t>
      </w:r>
      <w:r>
        <w:rPr>
          <w:rStyle w:val="Ohne"/>
          <w:rtl w:val="0"/>
        </w:rPr>
        <w:t xml:space="preserve"> 10, 2000, pp.94</w:t>
      </w:r>
      <w:r>
        <w:rPr>
          <w:rStyle w:val="Ohne"/>
          <w:rtl w:val="0"/>
        </w:rPr>
        <w:t>–</w:t>
      </w:r>
      <w:r>
        <w:rPr>
          <w:rStyle w:val="Ohne"/>
          <w:rtl w:val="0"/>
        </w:rPr>
        <w:t>107.</w:t>
      </w:r>
    </w:p>
    <w:p>
      <w:pPr>
        <w:pStyle w:val="Text"/>
        <w:ind w:left="708" w:firstLine="0"/>
      </w:pPr>
      <w:r>
        <w:rPr>
          <w:rStyle w:val="Ohne"/>
          <w:rtl w:val="0"/>
          <w:lang w:val="de-DE"/>
        </w:rPr>
        <w:t xml:space="preserve">Klagge, James: </w:t>
      </w:r>
      <w:r>
        <w:rPr>
          <w:rStyle w:val="Ohne"/>
          <w:rtl w:val="0"/>
        </w:rPr>
        <w:t>“</w:t>
      </w:r>
      <w:r>
        <w:rPr>
          <w:rStyle w:val="Ohne"/>
          <w:rtl w:val="0"/>
          <w:lang w:val="en-US"/>
        </w:rPr>
        <w:t>When Are Ideologies Irreconcilable? Case Studies in Diachronic Anthropology</w:t>
      </w:r>
      <w:r>
        <w:rPr>
          <w:rStyle w:val="Ohne"/>
          <w:rtl w:val="0"/>
        </w:rPr>
        <w:t>”</w:t>
      </w:r>
      <w:r>
        <w:rPr>
          <w:rStyle w:val="Ohne"/>
          <w:rtl w:val="0"/>
        </w:rPr>
        <w:t xml:space="preserve">, </w:t>
      </w:r>
      <w:r>
        <w:rPr>
          <w:rStyle w:val="Ohne"/>
          <w:i w:val="1"/>
          <w:iCs w:val="1"/>
          <w:rtl w:val="0"/>
          <w:lang w:val="en-US"/>
        </w:rPr>
        <w:t>Philosophical Investigations</w:t>
      </w:r>
      <w:r>
        <w:rPr>
          <w:rStyle w:val="Ohne"/>
          <w:rtl w:val="0"/>
        </w:rPr>
        <w:t xml:space="preserve"> 21:3, 1998, pp.268</w:t>
      </w:r>
      <w:r>
        <w:rPr>
          <w:rStyle w:val="Ohne"/>
          <w:rtl w:val="0"/>
        </w:rPr>
        <w:t>–</w:t>
      </w:r>
      <w:r>
        <w:rPr>
          <w:rStyle w:val="Ohne"/>
          <w:rtl w:val="0"/>
        </w:rPr>
        <w:t>79.</w:t>
      </w:r>
    </w:p>
    <w:p>
      <w:pPr>
        <w:pStyle w:val="Text"/>
        <w:ind w:left="708" w:firstLine="0"/>
      </w:pPr>
      <w:r>
        <w:rPr>
          <w:rStyle w:val="Ohne"/>
          <w:rtl w:val="0"/>
          <w:lang w:val="it-IT"/>
        </w:rPr>
        <w:t xml:space="preserve">Stone, Martin: </w:t>
      </w:r>
      <w:r>
        <w:rPr>
          <w:rStyle w:val="Ohne"/>
          <w:rtl w:val="0"/>
        </w:rPr>
        <w:t>“</w:t>
      </w:r>
      <w:r>
        <w:rPr>
          <w:rStyle w:val="Ohne"/>
          <w:rtl w:val="0"/>
          <w:lang w:val="en-US"/>
        </w:rPr>
        <w:t>Wittgenstein on Deconstruction</w:t>
      </w:r>
      <w:r>
        <w:rPr>
          <w:rStyle w:val="Ohne"/>
          <w:rtl w:val="0"/>
        </w:rPr>
        <w:t>”</w:t>
      </w:r>
      <w:r>
        <w:rPr>
          <w:rStyle w:val="Ohne"/>
          <w:rtl w:val="0"/>
          <w:lang w:val="en-US"/>
        </w:rPr>
        <w:t>, in: Crary and Read 2000: pp.83</w:t>
      </w:r>
      <w:r>
        <w:rPr>
          <w:rStyle w:val="Ohne"/>
          <w:rtl w:val="0"/>
        </w:rPr>
        <w:t>–</w:t>
      </w:r>
      <w:r>
        <w:rPr>
          <w:rStyle w:val="Ohne"/>
          <w:rtl w:val="0"/>
        </w:rPr>
        <w:t>117.</w:t>
      </w:r>
    </w:p>
    <w:p>
      <w:pPr>
        <w:pStyle w:val="Text"/>
        <w:ind w:left="708" w:firstLine="0"/>
      </w:pPr>
      <w:r>
        <w:rPr>
          <w:rStyle w:val="Ohne"/>
          <w:rtl w:val="0"/>
        </w:rPr>
        <w:t xml:space="preserve">Vasiliou, Iakovos: </w:t>
      </w:r>
      <w:r>
        <w:rPr>
          <w:rStyle w:val="Ohne"/>
          <w:rtl w:val="0"/>
        </w:rPr>
        <w:t>“</w:t>
      </w:r>
      <w:r>
        <w:rPr>
          <w:rStyle w:val="Ohne"/>
          <w:rtl w:val="0"/>
          <w:lang w:val="en-US"/>
        </w:rPr>
        <w:t>Wittgenstein, Religious Belief, and On Certainty</w:t>
      </w:r>
      <w:r>
        <w:rPr>
          <w:rStyle w:val="Ohne"/>
          <w:rtl w:val="0"/>
        </w:rPr>
        <w:t>”</w:t>
      </w:r>
      <w:r>
        <w:rPr>
          <w:rStyle w:val="Ohne"/>
          <w:rtl w:val="0"/>
          <w:lang w:val="en-US"/>
        </w:rPr>
        <w:t xml:space="preserve">, in: M. Addis and R. L. Arrington (eds.): </w:t>
      </w:r>
      <w:r>
        <w:rPr>
          <w:rStyle w:val="Ohne"/>
          <w:i w:val="1"/>
          <w:iCs w:val="1"/>
          <w:rtl w:val="0"/>
          <w:lang w:val="en-US"/>
        </w:rPr>
        <w:t>Wittgenstein and Philosophy of Religion</w:t>
      </w:r>
      <w:r>
        <w:rPr>
          <w:rStyle w:val="Ohne"/>
          <w:rtl w:val="0"/>
          <w:lang w:val="en-US"/>
        </w:rPr>
        <w:t>, Routledge, 2001, pp.29</w:t>
      </w:r>
      <w:r>
        <w:rPr>
          <w:rStyle w:val="Ohne"/>
          <w:rtl w:val="0"/>
        </w:rPr>
        <w:t>–</w:t>
      </w:r>
      <w:r>
        <w:rPr>
          <w:rStyle w:val="Ohne"/>
          <w:rtl w:val="0"/>
        </w:rPr>
        <w:t>50.</w:t>
      </w:r>
    </w:p>
    <w:p>
      <w:pPr>
        <w:pStyle w:val="Text"/>
        <w:ind w:left="708" w:firstLine="0"/>
      </w:pPr>
      <w:r>
        <w:rPr>
          <w:rStyle w:val="Ohne"/>
          <w:rtl w:val="0"/>
          <w:lang w:val="de-DE"/>
        </w:rPr>
        <w:t xml:space="preserve">Adorno, Theodor and Bloch, Ernst: </w:t>
      </w:r>
      <w:r>
        <w:rPr>
          <w:rStyle w:val="Ohne"/>
          <w:rtl w:val="0"/>
        </w:rPr>
        <w:t>“</w:t>
      </w:r>
      <w:r>
        <w:rPr>
          <w:rStyle w:val="Ohne"/>
          <w:rtl w:val="0"/>
          <w:lang w:val="en-US"/>
        </w:rPr>
        <w:t>Something</w:t>
      </w:r>
      <w:r>
        <w:rPr>
          <w:rStyle w:val="Ohne"/>
          <w:rtl w:val="0"/>
        </w:rPr>
        <w:t>’</w:t>
      </w:r>
      <w:r>
        <w:rPr>
          <w:rStyle w:val="Ohne"/>
          <w:rtl w:val="0"/>
          <w:lang w:val="en-US"/>
        </w:rPr>
        <w:t>s Missing: A Discussion Between Ernst Bloch and Theodor Adorno on the Contradictions of Utopian Longing</w:t>
      </w:r>
      <w:r>
        <w:rPr>
          <w:rStyle w:val="Ohne"/>
          <w:rtl w:val="0"/>
        </w:rPr>
        <w:t>”</w:t>
      </w:r>
      <w:r>
        <w:rPr>
          <w:rStyle w:val="Ohne"/>
          <w:rtl w:val="0"/>
          <w:lang w:val="de-DE"/>
        </w:rPr>
        <w:t xml:space="preserve">, in: E. Bloch, </w:t>
      </w:r>
      <w:r>
        <w:rPr>
          <w:rStyle w:val="Ohne"/>
          <w:i w:val="1"/>
          <w:iCs w:val="1"/>
          <w:rtl w:val="0"/>
          <w:lang w:val="en-US"/>
        </w:rPr>
        <w:t>The Utopian Function of Art and Literature: Selected Essays</w:t>
      </w:r>
      <w:r>
        <w:rPr>
          <w:rStyle w:val="Ohne"/>
          <w:rtl w:val="0"/>
          <w:lang w:val="en-US"/>
        </w:rPr>
        <w:t>, trans. J. Zipes and F. Mecklenburg, MIT Press, 1989, pp.XY</w:t>
      </w:r>
      <w:r>
        <w:rPr>
          <w:rStyle w:val="Ohne"/>
          <w:rtl w:val="0"/>
        </w:rPr>
        <w:t>–</w:t>
      </w:r>
      <w:r>
        <w:rPr>
          <w:rStyle w:val="Ohne"/>
          <w:rtl w:val="0"/>
        </w:rPr>
        <w:t>Z.</w:t>
      </w:r>
    </w:p>
    <w:p>
      <w:pPr>
        <w:pStyle w:val="Text"/>
        <w:ind w:left="708" w:firstLine="0"/>
      </w:pPr>
      <w:r>
        <w:rPr>
          <w:rStyle w:val="Ohne"/>
          <w:rtl w:val="0"/>
          <w:lang w:val="de-DE"/>
        </w:rPr>
        <w:t xml:space="preserve">Frege, Gottlob: </w:t>
      </w:r>
      <w:r>
        <w:rPr>
          <w:rStyle w:val="Ohne"/>
          <w:i w:val="1"/>
          <w:iCs w:val="1"/>
          <w:rtl w:val="0"/>
          <w:lang w:val="en-US"/>
        </w:rPr>
        <w:t>Posthumous Writings</w:t>
      </w:r>
      <w:r>
        <w:rPr>
          <w:rStyle w:val="Ohne"/>
          <w:rtl w:val="0"/>
          <w:lang w:val="en-US"/>
        </w:rPr>
        <w:t>, H. Hermes, F. Kambartel and F. Kaulbach (eds.), trans. P. Long and R. White, Blackwell, 1979.</w:t>
      </w:r>
    </w:p>
    <w:p>
      <w:pPr>
        <w:pStyle w:val="List Paragraph"/>
        <w:numPr>
          <w:ilvl w:val="0"/>
          <w:numId w:val="10"/>
        </w:numPr>
        <w:rPr>
          <w:lang w:val="en-US"/>
        </w:rPr>
      </w:pPr>
      <w:r>
        <w:rPr>
          <w:rStyle w:val="Ohne"/>
          <w:rtl w:val="0"/>
          <w:lang w:val="en-US"/>
        </w:rPr>
        <w:t>References should appear in the text. Do not create footnotes solely for references.</w:t>
      </w:r>
    </w:p>
    <w:p>
      <w:pPr>
        <w:pStyle w:val="List Paragraph"/>
        <w:numPr>
          <w:ilvl w:val="0"/>
          <w:numId w:val="10"/>
        </w:numPr>
        <w:rPr>
          <w:lang w:val="en-US"/>
        </w:rPr>
      </w:pPr>
      <w:r>
        <w:rPr>
          <w:rtl w:val="0"/>
          <w:lang w:val="en-US"/>
        </w:rPr>
        <w:t xml:space="preserve">Always indicate the unit that you are referring to (p. for page, pp. for pages, </w:t>
      </w:r>
      <w:r>
        <w:rPr>
          <w:rtl w:val="0"/>
        </w:rPr>
        <w:t xml:space="preserve">§ </w:t>
      </w:r>
      <w:r>
        <w:rPr>
          <w:rtl w:val="0"/>
          <w:lang w:val="en-US"/>
        </w:rPr>
        <w:t xml:space="preserve">for paragraph, </w:t>
      </w:r>
      <w:r>
        <w:rPr>
          <w:rtl w:val="0"/>
        </w:rPr>
        <w:t xml:space="preserve">§§ </w:t>
      </w:r>
      <w:r>
        <w:rPr>
          <w:rtl w:val="0"/>
          <w:lang w:val="nl-NL"/>
        </w:rPr>
        <w:t>for paragraphs; concerting Wittgenstein</w:t>
      </w:r>
      <w:r>
        <w:rPr>
          <w:rtl w:val="0"/>
        </w:rPr>
        <w:t>’</w:t>
      </w:r>
      <w:r>
        <w:rPr>
          <w:rtl w:val="0"/>
          <w:lang w:val="en-US"/>
        </w:rPr>
        <w:t>s and Hegel</w:t>
      </w:r>
      <w:r>
        <w:rPr>
          <w:rtl w:val="0"/>
        </w:rPr>
        <w:t>’</w:t>
      </w:r>
      <w:r>
        <w:rPr>
          <w:rtl w:val="0"/>
          <w:lang w:val="en-US"/>
        </w:rPr>
        <w:t>s works see below). Don</w:t>
      </w:r>
      <w:r>
        <w:rPr>
          <w:rtl w:val="0"/>
        </w:rPr>
        <w:t>’</w:t>
      </w:r>
      <w:r>
        <w:rPr>
          <w:rtl w:val="0"/>
          <w:lang w:val="en-US"/>
        </w:rPr>
        <w:t xml:space="preserve">t place a space between the unit and the number (p.30 instead of p. 30; </w:t>
      </w:r>
      <w:r>
        <w:rPr>
          <w:rtl w:val="0"/>
        </w:rPr>
        <w:t>§§</w:t>
      </w:r>
      <w:r>
        <w:rPr>
          <w:rtl w:val="0"/>
        </w:rPr>
        <w:t>30</w:t>
      </w:r>
      <w:r>
        <w:rPr>
          <w:rtl w:val="0"/>
        </w:rPr>
        <w:t>–</w:t>
      </w:r>
      <w:r>
        <w:rPr>
          <w:rtl w:val="0"/>
          <w:lang w:val="en-US"/>
        </w:rPr>
        <w:t xml:space="preserve">31 instead of </w:t>
      </w:r>
      <w:r>
        <w:rPr>
          <w:rtl w:val="0"/>
        </w:rPr>
        <w:t xml:space="preserve">§§ </w:t>
      </w:r>
      <w:r>
        <w:rPr>
          <w:rtl w:val="0"/>
        </w:rPr>
        <w:t>30</w:t>
      </w:r>
      <w:r>
        <w:rPr>
          <w:rtl w:val="0"/>
        </w:rPr>
        <w:t>–</w:t>
      </w:r>
      <w:r>
        <w:rPr>
          <w:rtl w:val="0"/>
          <w:lang w:val="en-US"/>
        </w:rPr>
        <w:t xml:space="preserve">31 or </w:t>
      </w:r>
      <w:r>
        <w:rPr>
          <w:rtl w:val="0"/>
        </w:rPr>
        <w:t xml:space="preserve">§§ </w:t>
      </w:r>
      <w:r>
        <w:rPr>
          <w:rtl w:val="0"/>
        </w:rPr>
        <w:t xml:space="preserve">30 </w:t>
      </w:r>
      <w:r>
        <w:rPr>
          <w:rtl w:val="0"/>
        </w:rPr>
        <w:t xml:space="preserve">– </w:t>
      </w:r>
      <w:r>
        <w:rPr>
          <w:rtl w:val="0"/>
        </w:rPr>
        <w:t>31).</w:t>
      </w:r>
    </w:p>
    <w:p>
      <w:pPr>
        <w:pStyle w:val="List Paragraph"/>
        <w:numPr>
          <w:ilvl w:val="0"/>
          <w:numId w:val="10"/>
        </w:numPr>
        <w:rPr>
          <w:lang w:val="en-US"/>
        </w:rPr>
      </w:pPr>
      <w:r>
        <w:rPr>
          <w:rStyle w:val="Ohne"/>
          <w:rtl w:val="0"/>
          <w:lang w:val="en-US"/>
        </w:rPr>
        <w:t>Examples of in text references:</w:t>
      </w:r>
    </w:p>
    <w:p>
      <w:pPr>
        <w:pStyle w:val="List Paragraph"/>
        <w:numPr>
          <w:ilvl w:val="1"/>
          <w:numId w:val="10"/>
        </w:numPr>
        <w:rPr>
          <w:lang w:val="en-US"/>
        </w:rPr>
      </w:pPr>
      <w:r>
        <w:rPr>
          <w:rStyle w:val="Ohne"/>
          <w:rtl w:val="0"/>
          <w:lang w:val="en-US"/>
        </w:rPr>
        <w:t>‘</w:t>
      </w:r>
      <w:r>
        <w:rPr>
          <w:rStyle w:val="Ohne"/>
          <w:rtl w:val="0"/>
          <w:lang w:val="en-US"/>
        </w:rPr>
        <w:t>In my view, however, we find the same intriguing mixture of similarities and differences as in other areas.</w:t>
      </w:r>
      <w:r>
        <w:rPr>
          <w:rStyle w:val="Ohne"/>
          <w:rtl w:val="0"/>
          <w:lang w:val="en-US"/>
        </w:rPr>
        <w:t xml:space="preserve">’ </w:t>
      </w:r>
      <w:r>
        <w:rPr>
          <w:rStyle w:val="Ohne"/>
          <w:rtl w:val="0"/>
          <w:lang w:val="en-US"/>
        </w:rPr>
        <w:t>(Glock 2001: pp.3</w:t>
      </w:r>
      <w:r>
        <w:rPr>
          <w:rStyle w:val="Ohne"/>
          <w:rtl w:val="0"/>
          <w:lang w:val="en-US"/>
        </w:rPr>
        <w:t>–</w:t>
      </w:r>
      <w:r>
        <w:rPr>
          <w:rStyle w:val="Ohne"/>
          <w:rtl w:val="0"/>
          <w:lang w:val="en-US"/>
        </w:rPr>
        <w:t>4)</w:t>
      </w:r>
    </w:p>
    <w:p>
      <w:pPr>
        <w:pStyle w:val="List Paragraph"/>
        <w:numPr>
          <w:ilvl w:val="1"/>
          <w:numId w:val="10"/>
        </w:numPr>
        <w:rPr>
          <w:lang w:val="en-US"/>
        </w:rPr>
      </w:pPr>
      <w:r>
        <w:rPr>
          <w:rStyle w:val="Ohne"/>
          <w:rtl w:val="0"/>
          <w:lang w:val="en-US"/>
        </w:rPr>
        <w:t>‘</w:t>
      </w:r>
      <w:r>
        <w:rPr>
          <w:rStyle w:val="Ohne"/>
          <w:rtl w:val="0"/>
          <w:lang w:val="en-US"/>
        </w:rPr>
        <w:t>Until very recently, this body of literature on Wittgenstein</w:t>
      </w:r>
      <w:r>
        <w:rPr>
          <w:rStyle w:val="Ohne"/>
          <w:rtl w:val="0"/>
          <w:lang w:val="en-US"/>
        </w:rPr>
        <w:t>’</w:t>
      </w:r>
      <w:r>
        <w:rPr>
          <w:rStyle w:val="Ohne"/>
          <w:rtl w:val="0"/>
          <w:lang w:val="en-US"/>
        </w:rPr>
        <w:t>s early thought was routinely overlooked in mainstream philosophical discussions of Wittgenstein.</w:t>
      </w:r>
      <w:r>
        <w:rPr>
          <w:rStyle w:val="Ohne"/>
          <w:rtl w:val="0"/>
          <w:lang w:val="en-US"/>
        </w:rPr>
        <w:t xml:space="preserve">’ </w:t>
      </w:r>
      <w:r>
        <w:rPr>
          <w:rStyle w:val="Ohne"/>
          <w:rtl w:val="0"/>
          <w:lang w:val="en-US"/>
        </w:rPr>
        <w:t>(Read and Crary, 2000: p.12)</w:t>
      </w:r>
    </w:p>
    <w:p>
      <w:pPr>
        <w:pStyle w:val="List Paragraph"/>
        <w:numPr>
          <w:ilvl w:val="0"/>
          <w:numId w:val="8"/>
        </w:numPr>
        <w:rPr>
          <w:lang w:val="en-US"/>
        </w:rPr>
      </w:pPr>
      <w:r>
        <w:rPr>
          <w:rStyle w:val="Ohne"/>
          <w:rtl w:val="0"/>
          <w:lang w:val="en-US"/>
        </w:rPr>
        <w:t>Other examples of in text references: (Goodman 1960: p.220) (Goodman 1960: Part IV) (Read and Crary 2000: p.167, my emphasis) (Nietzsche [1878] 2004: pp.203</w:t>
      </w:r>
      <w:r>
        <w:rPr>
          <w:rStyle w:val="Ohne"/>
          <w:rtl w:val="0"/>
          <w:lang w:val="en-US"/>
        </w:rPr>
        <w:t>–</w:t>
      </w:r>
      <w:r>
        <w:rPr>
          <w:rStyle w:val="Ohne"/>
          <w:rtl w:val="0"/>
          <w:lang w:val="en-US"/>
        </w:rPr>
        <w:t>4)</w:t>
      </w:r>
    </w:p>
    <w:p>
      <w:pPr>
        <w:pStyle w:val="List Paragraph"/>
        <w:numPr>
          <w:ilvl w:val="0"/>
          <w:numId w:val="8"/>
        </w:numPr>
        <w:rPr>
          <w:lang w:val="en-US"/>
        </w:rPr>
      </w:pPr>
      <w:r>
        <w:rPr>
          <w:rStyle w:val="Ohne"/>
          <w:rtl w:val="0"/>
          <w:lang w:val="en-US"/>
        </w:rPr>
        <w:t>If not stated otherwise, emphasis is in the original.</w:t>
      </w:r>
    </w:p>
    <w:p>
      <w:pPr>
        <w:pStyle w:val="List Paragraph"/>
        <w:numPr>
          <w:ilvl w:val="0"/>
          <w:numId w:val="8"/>
        </w:numPr>
        <w:rPr>
          <w:lang w:val="en-US"/>
        </w:rPr>
      </w:pPr>
      <w:r>
        <w:rPr>
          <w:rStyle w:val="Ohne"/>
          <w:rtl w:val="0"/>
          <w:lang w:val="en-US"/>
        </w:rPr>
        <w:t xml:space="preserve">Omissions are indicated by three dots with spaces left and right and in-between but without parentheses, viz. </w:t>
      </w:r>
      <w:r>
        <w:rPr>
          <w:rStyle w:val="Ohne"/>
          <w:rtl w:val="0"/>
          <w:lang w:val="en-US"/>
        </w:rPr>
        <w:t>“</w:t>
      </w:r>
      <w:r>
        <w:rPr>
          <w:rStyle w:val="Ohne"/>
          <w:rtl w:val="0"/>
          <w:lang w:val="en-US"/>
        </w:rPr>
        <w:t>. . .</w:t>
      </w:r>
      <w:r>
        <w:rPr>
          <w:rStyle w:val="Ohne"/>
          <w:rtl w:val="0"/>
          <w:lang w:val="en-US"/>
        </w:rPr>
        <w:t>”</w:t>
      </w:r>
      <w:r>
        <w:rPr>
          <w:rStyle w:val="Ohne"/>
          <w:rtl w:val="0"/>
          <w:lang w:val="en-US"/>
        </w:rPr>
        <w:t xml:space="preserve">, e.g.: </w:t>
      </w:r>
      <w:r>
        <w:rPr>
          <w:rStyle w:val="Ohne"/>
          <w:rtl w:val="0"/>
          <w:lang w:val="en-US"/>
        </w:rPr>
        <w:t>“</w:t>
      </w:r>
      <w:r>
        <w:rPr>
          <w:rStyle w:val="Ohne"/>
          <w:rtl w:val="0"/>
          <w:lang w:val="en-US"/>
        </w:rPr>
        <w:t>In my view, however, we find the same intriguing mixture . . . as in other areas.</w:t>
      </w:r>
      <w:r>
        <w:rPr>
          <w:rStyle w:val="Ohne"/>
          <w:rtl w:val="0"/>
          <w:lang w:val="en-US"/>
        </w:rPr>
        <w:t xml:space="preserve">” </w:t>
      </w:r>
      <w:r>
        <w:rPr>
          <w:rStyle w:val="Ohne"/>
          <w:rtl w:val="0"/>
          <w:lang w:val="en-US"/>
        </w:rPr>
        <w:t>(Glock 2001: pp.3</w:t>
      </w:r>
      <w:r>
        <w:rPr>
          <w:rStyle w:val="Ohne"/>
          <w:rtl w:val="0"/>
          <w:lang w:val="en-US"/>
        </w:rPr>
        <w:t>–</w:t>
      </w:r>
      <w:r>
        <w:rPr>
          <w:rStyle w:val="Ohne"/>
          <w:rtl w:val="0"/>
          <w:lang w:val="en-US"/>
        </w:rPr>
        <w:t>4)</w:t>
      </w:r>
    </w:p>
    <w:p>
      <w:pPr>
        <w:pStyle w:val="List Paragraph"/>
        <w:numPr>
          <w:ilvl w:val="0"/>
          <w:numId w:val="8"/>
        </w:numPr>
        <w:rPr>
          <w:lang w:val="en-US"/>
        </w:rPr>
      </w:pPr>
      <w:r>
        <w:rPr>
          <w:rStyle w:val="Ohne"/>
          <w:rtl w:val="0"/>
          <w:lang w:val="en-US"/>
        </w:rPr>
        <w:t>Longer (three lines and more) quotations should be placed in separate paragraphs and indented. Do not use quotation marks here:</w:t>
      </w:r>
    </w:p>
    <w:p>
      <w:pPr>
        <w:pStyle w:val="Text"/>
        <w:ind w:left="708" w:firstLine="0"/>
      </w:pPr>
      <w:r>
        <w:rPr>
          <w:rStyle w:val="Ohne"/>
          <w:rtl w:val="0"/>
          <w:lang w:val="en-US"/>
        </w:rPr>
        <w:t xml:space="preserve">Diamond and Conant accent the fact that, on their reading, the method of the </w:t>
      </w:r>
      <w:r>
        <w:rPr>
          <w:rStyle w:val="Ohne"/>
          <w:i w:val="1"/>
          <w:iCs w:val="1"/>
          <w:rtl w:val="0"/>
        </w:rPr>
        <w:t>Tractatus</w:t>
      </w:r>
      <w:r>
        <w:rPr>
          <w:rStyle w:val="Ohne"/>
          <w:rtl w:val="0"/>
          <w:lang w:val="en-US"/>
        </w:rPr>
        <w:t xml:space="preserve"> is similar in important respects to the method of Wittgenstein</w:t>
      </w:r>
      <w:r>
        <w:rPr>
          <w:rStyle w:val="Ohne"/>
          <w:rtl w:val="0"/>
        </w:rPr>
        <w:t>’</w:t>
      </w:r>
      <w:r>
        <w:rPr>
          <w:rStyle w:val="Ohne"/>
          <w:rtl w:val="0"/>
          <w:lang w:val="en-US"/>
        </w:rPr>
        <w:t>s later writings (which they understand roughly along the lines I traced out above in discussing therapeutic readings of his later writings). (Read and Crary 2000: p.12)</w:t>
      </w:r>
    </w:p>
    <w:p>
      <w:pPr>
        <w:pStyle w:val="List Paragraph"/>
        <w:numPr>
          <w:ilvl w:val="0"/>
          <w:numId w:val="8"/>
        </w:numPr>
        <w:rPr>
          <w:lang w:val="en-US"/>
        </w:rPr>
      </w:pPr>
      <w:r>
        <w:rPr>
          <w:rStyle w:val="Ohne"/>
          <w:rtl w:val="0"/>
          <w:lang w:val="en-US"/>
        </w:rPr>
        <w:t xml:space="preserve">If reasonable, do not repeat same refences source and use </w:t>
      </w:r>
      <w:r>
        <w:rPr>
          <w:rStyle w:val="Ohne"/>
          <w:i w:val="1"/>
          <w:iCs w:val="1"/>
          <w:rtl w:val="0"/>
          <w:lang w:val="pt-PT"/>
        </w:rPr>
        <w:t>ibid.</w:t>
      </w:r>
      <w:r>
        <w:rPr>
          <w:rStyle w:val="Ohne"/>
          <w:rtl w:val="0"/>
          <w:lang w:val="en-US"/>
        </w:rPr>
        <w:t>, eg. (</w:t>
      </w:r>
      <w:r>
        <w:rPr>
          <w:rStyle w:val="Ohne"/>
          <w:i w:val="1"/>
          <w:iCs w:val="1"/>
          <w:rtl w:val="0"/>
          <w:lang w:val="pt-PT"/>
        </w:rPr>
        <w:t>ibid.</w:t>
      </w:r>
      <w:r>
        <w:rPr>
          <w:rStyle w:val="Ohne"/>
          <w:rtl w:val="0"/>
          <w:lang w:val="en-US"/>
        </w:rPr>
        <w:t>) or (</w:t>
      </w:r>
      <w:r>
        <w:rPr>
          <w:rStyle w:val="Ohne"/>
          <w:i w:val="1"/>
          <w:iCs w:val="1"/>
          <w:rtl w:val="0"/>
          <w:lang w:val="pt-PT"/>
        </w:rPr>
        <w:t>ibid.</w:t>
      </w:r>
      <w:r>
        <w:rPr>
          <w:rStyle w:val="Ohne"/>
          <w:rtl w:val="0"/>
          <w:lang w:val="en-US"/>
        </w:rPr>
        <w:t>: p.23) or, depending on context also, simply (p.23), say.</w:t>
      </w:r>
    </w:p>
    <w:p>
      <w:pPr>
        <w:pStyle w:val="List Paragraph"/>
        <w:numPr>
          <w:ilvl w:val="0"/>
          <w:numId w:val="8"/>
        </w:numPr>
        <w:rPr>
          <w:lang w:val="en-US"/>
        </w:rPr>
      </w:pPr>
      <w:r>
        <w:rPr>
          <w:rStyle w:val="Ohne"/>
          <w:rtl w:val="0"/>
          <w:lang w:val="en-US"/>
        </w:rPr>
        <w:t xml:space="preserve">References such as </w:t>
      </w:r>
      <w:r>
        <w:rPr>
          <w:rStyle w:val="Ohne"/>
          <w:rtl w:val="0"/>
          <w:lang w:val="en-US"/>
        </w:rPr>
        <w:t>“</w:t>
      </w:r>
      <w:r>
        <w:rPr>
          <w:rStyle w:val="Ohne"/>
          <w:rtl w:val="0"/>
          <w:lang w:val="en-US"/>
        </w:rPr>
        <w:t xml:space="preserve">See also </w:t>
      </w:r>
      <w:r>
        <w:rPr>
          <w:rStyle w:val="Ohne"/>
          <w:rtl w:val="0"/>
          <w:lang w:val="en-US"/>
        </w:rPr>
        <w:t xml:space="preserve">…” </w:t>
      </w:r>
      <w:r>
        <w:rPr>
          <w:rStyle w:val="Ohne"/>
          <w:rtl w:val="0"/>
          <w:lang w:val="en-US"/>
        </w:rPr>
        <w:t xml:space="preserve">should be formatted e.g. thus: </w:t>
      </w:r>
      <w:r>
        <w:rPr>
          <w:rStyle w:val="Ohne"/>
          <w:rtl w:val="0"/>
          <w:lang w:val="en-US"/>
        </w:rPr>
        <w:t>“</w:t>
      </w:r>
      <w:r>
        <w:rPr>
          <w:rStyle w:val="Ohne"/>
          <w:rtl w:val="0"/>
          <w:lang w:val="en-US"/>
        </w:rPr>
        <w:t>See also Floyd (1995).</w:t>
      </w:r>
      <w:r>
        <w:rPr>
          <w:rStyle w:val="Ohne"/>
          <w:rtl w:val="0"/>
          <w:lang w:val="en-US"/>
        </w:rPr>
        <w:t xml:space="preserve">” </w:t>
      </w:r>
      <w:r>
        <w:rPr>
          <w:rStyle w:val="Ohne"/>
          <w:rtl w:val="0"/>
          <w:lang w:val="en-US"/>
        </w:rPr>
        <w:t xml:space="preserve">or </w:t>
      </w:r>
      <w:r>
        <w:rPr>
          <w:rStyle w:val="Ohne"/>
          <w:rtl w:val="0"/>
          <w:lang w:val="en-US"/>
        </w:rPr>
        <w:t>“</w:t>
      </w:r>
      <w:r>
        <w:rPr>
          <w:rStyle w:val="Ohne"/>
          <w:rtl w:val="0"/>
          <w:lang w:val="en-US"/>
        </w:rPr>
        <w:t>See also Floyd 1995: p.334.</w:t>
      </w:r>
      <w:r>
        <w:rPr>
          <w:rStyle w:val="Ohne"/>
          <w:rtl w:val="0"/>
          <w:lang w:val="en-US"/>
        </w:rPr>
        <w:t xml:space="preserve">” </w:t>
      </w:r>
      <w:r>
        <w:rPr>
          <w:rStyle w:val="Ohne"/>
          <w:rtl w:val="0"/>
          <w:lang w:val="en-US"/>
        </w:rPr>
        <w:t xml:space="preserve">or </w:t>
      </w:r>
      <w:r>
        <w:rPr>
          <w:rStyle w:val="Ohne"/>
          <w:rtl w:val="0"/>
          <w:lang w:val="en-US"/>
        </w:rPr>
        <w:t>“</w:t>
      </w:r>
      <w:r>
        <w:rPr>
          <w:rStyle w:val="Ohne"/>
          <w:rtl w:val="0"/>
          <w:lang w:val="en-US"/>
        </w:rPr>
        <w:t>Cf. Floyd (1995, 2001), Steiner (2001) and Glock (1998, 2004, 2013).</w:t>
      </w:r>
      <w:r>
        <w:rPr>
          <w:rStyle w:val="Ohne"/>
          <w:rtl w:val="0"/>
          <w:lang w:val="en-US"/>
        </w:rPr>
        <w:t>”</w:t>
      </w:r>
    </w:p>
    <w:p>
      <w:pPr>
        <w:pStyle w:val="List Paragraph"/>
        <w:ind w:left="0" w:firstLine="0"/>
      </w:pPr>
    </w:p>
    <w:p>
      <w:pPr>
        <w:pStyle w:val="Überschrift 2"/>
      </w:pPr>
      <w:r>
        <w:rPr>
          <w:rStyle w:val="Ohne"/>
          <w:rtl w:val="0"/>
          <w:lang w:val="en-US"/>
        </w:rPr>
        <w:t>References to Wittgenstein</w:t>
      </w:r>
      <w:r>
        <w:rPr>
          <w:rStyle w:val="Ohne"/>
          <w:rtl w:val="0"/>
        </w:rPr>
        <w:t>’</w:t>
      </w:r>
      <w:r>
        <w:rPr>
          <w:rStyle w:val="Ohne"/>
          <w:rtl w:val="0"/>
          <w:lang w:val="en-US"/>
        </w:rPr>
        <w:t>s works (including letters, lecture notes, recollections)</w:t>
      </w:r>
    </w:p>
    <w:p>
      <w:pPr>
        <w:pStyle w:val="List Paragraph"/>
        <w:numPr>
          <w:ilvl w:val="0"/>
          <w:numId w:val="8"/>
        </w:numPr>
        <w:rPr>
          <w:lang w:val="en-US"/>
        </w:rPr>
      </w:pPr>
      <w:r>
        <w:rPr>
          <w:rStyle w:val="Ohne"/>
          <w:rtl w:val="0"/>
          <w:lang w:val="en-US"/>
        </w:rPr>
        <w:t>Use abbreviations listed below. If your text is not listed there, tell us.</w:t>
      </w:r>
    </w:p>
    <w:p>
      <w:pPr>
        <w:pStyle w:val="List Paragraph"/>
        <w:numPr>
          <w:ilvl w:val="0"/>
          <w:numId w:val="8"/>
        </w:numPr>
        <w:rPr>
          <w:lang w:val="en-US"/>
        </w:rPr>
      </w:pPr>
      <w:r>
        <w:rPr>
          <w:rStyle w:val="Ohne"/>
          <w:rtl w:val="0"/>
          <w:lang w:val="en-US"/>
        </w:rPr>
        <w:t>Do not repeat Wittgenstein</w:t>
      </w:r>
      <w:r>
        <w:rPr>
          <w:rStyle w:val="Ohne"/>
          <w:rtl w:val="0"/>
          <w:lang w:val="en-US"/>
        </w:rPr>
        <w:t>’</w:t>
      </w:r>
      <w:r>
        <w:rPr>
          <w:rStyle w:val="Ohne"/>
          <w:rtl w:val="0"/>
          <w:lang w:val="en-US"/>
        </w:rPr>
        <w:t>s name.</w:t>
      </w:r>
    </w:p>
    <w:p>
      <w:pPr>
        <w:pStyle w:val="List Paragraph"/>
        <w:numPr>
          <w:ilvl w:val="0"/>
          <w:numId w:val="8"/>
        </w:numPr>
        <w:rPr>
          <w:lang w:val="en-US"/>
        </w:rPr>
      </w:pPr>
      <w:r>
        <w:rPr>
          <w:rStyle w:val="Ohne"/>
          <w:rtl w:val="0"/>
          <w:lang w:val="en-US"/>
        </w:rPr>
        <w:t>If you change the official translation or make your own translation, this should be indicated.</w:t>
      </w:r>
    </w:p>
    <w:p>
      <w:pPr>
        <w:pStyle w:val="List Paragraph"/>
        <w:numPr>
          <w:ilvl w:val="0"/>
          <w:numId w:val="8"/>
        </w:numPr>
        <w:rPr>
          <w:lang w:val="en-US"/>
        </w:rPr>
      </w:pPr>
      <w:r>
        <w:rPr>
          <w:rStyle w:val="Ohne"/>
          <w:rtl w:val="0"/>
          <w:lang w:val="en-US"/>
        </w:rPr>
        <w:t xml:space="preserve">Always indicate whether you refer to numbered paragraphs or to pages (except for the </w:t>
      </w:r>
      <w:r>
        <w:rPr>
          <w:rStyle w:val="Ohne"/>
          <w:i w:val="1"/>
          <w:iCs w:val="1"/>
          <w:rtl w:val="0"/>
          <w:lang w:val="en-US"/>
        </w:rPr>
        <w:t>Tractatus</w:t>
      </w:r>
      <w:r>
        <w:rPr>
          <w:rStyle w:val="Ohne"/>
          <w:rtl w:val="0"/>
          <w:lang w:val="en-US"/>
        </w:rPr>
        <w:t>).</w:t>
      </w:r>
    </w:p>
    <w:p>
      <w:pPr>
        <w:pStyle w:val="List Paragraph"/>
        <w:numPr>
          <w:ilvl w:val="0"/>
          <w:numId w:val="8"/>
        </w:numPr>
        <w:rPr>
          <w:lang w:val="en-US"/>
        </w:rPr>
      </w:pPr>
      <w:r>
        <w:rPr>
          <w:rStyle w:val="Ohne"/>
          <w:rtl w:val="0"/>
          <w:lang w:val="en-US"/>
        </w:rPr>
        <w:t xml:space="preserve">Examples: (PI: </w:t>
      </w:r>
      <w:r>
        <w:rPr>
          <w:rStyle w:val="Ohne"/>
          <w:rtl w:val="0"/>
          <w:lang w:val="en-US"/>
        </w:rPr>
        <w:t>§</w:t>
      </w:r>
      <w:r>
        <w:rPr>
          <w:rStyle w:val="Ohne"/>
          <w:rtl w:val="0"/>
          <w:lang w:val="en-US"/>
        </w:rPr>
        <w:t>3), (PR: p.23), (RFM I: p.23) (MS 102: p.34v, my trans.) (TS 204: p.23, my trans.) (TLP: 6.53, Ogden/Ramsey</w:t>
      </w:r>
      <w:r>
        <w:rPr>
          <w:rStyle w:val="Ohne"/>
          <w:rtl w:val="0"/>
          <w:lang w:val="en-US"/>
        </w:rPr>
        <w:t>’</w:t>
      </w:r>
      <w:r>
        <w:rPr>
          <w:rStyle w:val="Ohne"/>
          <w:rtl w:val="0"/>
          <w:lang w:val="en-US"/>
        </w:rPr>
        <w:t>s trans.) (PG: p.26, trans. amended), (MS 103: p. 21, [18 May 1916])</w:t>
      </w:r>
    </w:p>
    <w:p>
      <w:pPr>
        <w:pStyle w:val="List Paragraph"/>
        <w:ind w:left="0" w:firstLine="0"/>
      </w:pPr>
    </w:p>
    <w:p>
      <w:pPr>
        <w:pStyle w:val="Überschrift 2"/>
      </w:pPr>
      <w:r>
        <w:rPr>
          <w:rStyle w:val="Ohne"/>
          <w:rtl w:val="0"/>
          <w:lang w:val="en-US"/>
        </w:rPr>
        <w:t xml:space="preserve">Citing the works of </w:t>
      </w:r>
      <w:r>
        <w:rPr>
          <w:rStyle w:val="Ohne"/>
          <w:rtl w:val="0"/>
          <w:lang w:val="de-DE"/>
        </w:rPr>
        <w:t>Wittgenstein</w:t>
      </w:r>
    </w:p>
    <w:p>
      <w:pPr>
        <w:pStyle w:val="Text"/>
        <w:numPr>
          <w:ilvl w:val="0"/>
          <w:numId w:val="12"/>
        </w:numPr>
        <w:spacing w:after="0"/>
        <w:rPr>
          <w:lang w:val="en-US"/>
        </w:rPr>
      </w:pPr>
      <w:r>
        <w:rPr>
          <w:rStyle w:val="Ohne"/>
          <w:rtl w:val="0"/>
          <w:lang w:val="en-US"/>
        </w:rPr>
        <w:t xml:space="preserve">For a list of the citation please follow this link: </w:t>
      </w:r>
      <w:r>
        <w:rPr>
          <w:rStyle w:val="Hyperlink.1"/>
        </w:rPr>
        <w:fldChar w:fldCharType="begin" w:fldLock="0"/>
      </w:r>
      <w:r>
        <w:rPr>
          <w:rStyle w:val="Hyperlink.1"/>
        </w:rPr>
        <w:instrText xml:space="preserve"> HYPERLINK "http://www.ilwg.eu/files/Bibliographie%20-%202019-11-26.pdf"</w:instrText>
      </w:r>
      <w:r>
        <w:rPr>
          <w:rStyle w:val="Hyperlink.1"/>
        </w:rPr>
        <w:fldChar w:fldCharType="separate" w:fldLock="0"/>
      </w:r>
      <w:r>
        <w:rPr>
          <w:rStyle w:val="Hyperlink.1"/>
          <w:rtl w:val="0"/>
          <w:lang w:val="de-DE"/>
        </w:rPr>
        <w:t>http://www.ilwg.eu/files/Bibliographie%20-%202019-11-26.pdf</w:t>
      </w:r>
      <w:r>
        <w:rPr/>
        <w:fldChar w:fldCharType="end" w:fldLock="0"/>
      </w:r>
    </w:p>
    <w:p>
      <w:pPr>
        <w:pStyle w:val="Text"/>
        <w:tabs>
          <w:tab w:val="left" w:pos="1701"/>
        </w:tabs>
        <w:spacing w:after="0"/>
        <w:ind w:left="1701" w:hanging="1701"/>
        <w:rPr>
          <w:rStyle w:val="Ohne"/>
        </w:rPr>
      </w:pPr>
    </w:p>
    <w:p>
      <w:pPr>
        <w:pStyle w:val="Text"/>
        <w:numPr>
          <w:ilvl w:val="0"/>
          <w:numId w:val="12"/>
        </w:numPr>
        <w:spacing w:after="0"/>
        <w:rPr>
          <w:lang w:val="en-US"/>
        </w:rPr>
      </w:pPr>
      <w:r>
        <w:rPr>
          <w:rStyle w:val="Ohne"/>
          <w:rtl w:val="0"/>
          <w:lang w:val="en-US"/>
        </w:rPr>
        <w:t>Please use only these keys for Wittgenstein's works! In this case there is no need to provide any bibliographical references in the first citation of the work concerned.</w:t>
      </w:r>
    </w:p>
    <w:p>
      <w:pPr>
        <w:pStyle w:val="Text"/>
        <w:tabs>
          <w:tab w:val="left" w:pos="1701"/>
        </w:tabs>
        <w:spacing w:after="0"/>
        <w:ind w:left="1701" w:hanging="1701"/>
        <w:rPr>
          <w:rStyle w:val="Ohne"/>
        </w:rPr>
      </w:pPr>
    </w:p>
    <w:p>
      <w:pPr>
        <w:pStyle w:val="List Paragraph"/>
        <w:ind w:left="0" w:firstLine="0"/>
      </w:pPr>
    </w:p>
    <w:p>
      <w:pPr>
        <w:pStyle w:val="Überschrift 2"/>
      </w:pPr>
      <w:r>
        <w:rPr>
          <w:rStyle w:val="Ohne"/>
          <w:rtl w:val="0"/>
          <w:lang w:val="en-US"/>
        </w:rPr>
        <w:t>Citing the works of Hegel</w:t>
      </w:r>
    </w:p>
    <w:p>
      <w:pPr>
        <w:pStyle w:val="Text"/>
        <w:widowControl w:val="0"/>
        <w:spacing w:line="240" w:lineRule="auto"/>
        <w:ind w:left="108" w:hanging="108"/>
      </w:pPr>
      <w:r>
        <w:rPr>
          <w:rtl w:val="0"/>
          <w:lang w:val="de-DE"/>
        </w:rPr>
        <w:t>For english quotations p</w:t>
      </w:r>
      <w:r>
        <w:rPr>
          <w:rtl w:val="0"/>
          <w:lang w:val="en-US"/>
        </w:rPr>
        <w:t xml:space="preserve">lease quote from internationally distributed and accessible standard editions and </w:t>
      </w:r>
      <w:r>
        <w:rPr>
          <w:rtl w:val="0"/>
          <w:lang w:val="de-DE"/>
        </w:rPr>
        <w:t>for german quotations</w:t>
      </w:r>
      <w:r>
        <w:rPr>
          <w:rtl w:val="0"/>
          <w:lang w:val="de-DE"/>
        </w:rPr>
        <w:t xml:space="preserve"> from the historical-critical edition, i.e. G.W.F. Hegel. Gesammelte Werke. Hamburg: Felix Meiner, 1968</w:t>
      </w:r>
      <w:r>
        <w:rPr>
          <w:rtl w:val="0"/>
          <w:lang w:val="de-DE"/>
        </w:rPr>
        <w:t xml:space="preserve"> </w:t>
      </w:r>
      <w:r>
        <w:rPr>
          <w:rtl w:val="0"/>
        </w:rPr>
        <w:t>ff.</w:t>
      </w:r>
    </w:p>
    <w:sectPr>
      <w:headerReference w:type="default" r:id="rId4"/>
      <w:footerReference w:type="default" r:id="rId5"/>
      <w:pgSz w:w="11900" w:h="16840" w:orient="portrait"/>
      <w:pgMar w:top="1417" w:right="1417" w:bottom="568"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ierter Stil: 3"/>
  </w:abstractNum>
  <w:abstractNum w:abstractNumId="5">
    <w:multiLevelType w:val="hybridMultilevel"/>
    <w:styleLink w:val="Importierter Stil: 3"/>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ierter Stil: 4"/>
  </w:abstractNum>
  <w:abstractNum w:abstractNumId="7">
    <w:multiLevelType w:val="hybridMultilevel"/>
    <w:styleLink w:val="Importierter Stil: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ierter Stil: 5"/>
  </w:abstractNum>
  <w:abstractNum w:abstractNumId="9">
    <w:multiLevelType w:val="hybridMultilevel"/>
    <w:styleLink w:val="Importierter Stil: 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Punkte"/>
  </w:abstractNum>
  <w:abstractNum w:abstractNumId="11">
    <w:multiLevelType w:val="hybridMultilevel"/>
    <w:styleLink w:val="Punkte"/>
    <w:lvl w:ilvl="0">
      <w:start w:val="1"/>
      <w:numFmt w:val="bullet"/>
      <w:suff w:val="tab"/>
      <w:lvlText w:val="•"/>
      <w:lvlJc w:val="left"/>
      <w:pPr>
        <w:tabs>
          <w:tab w:val="num" w:pos="174"/>
          <w:tab w:val="left" w:pos="1701"/>
        </w:tabs>
        <w:ind w:left="1875" w:hanging="18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74"/>
          <w:tab w:val="left" w:pos="1701"/>
        </w:tabs>
        <w:ind w:left="2475" w:hanging="187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374"/>
          <w:tab w:val="left" w:pos="1701"/>
        </w:tabs>
        <w:ind w:left="3075" w:hanging="18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701"/>
          <w:tab w:val="num" w:pos="1974"/>
        </w:tabs>
        <w:ind w:left="3675" w:hanging="187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701"/>
          <w:tab w:val="num" w:pos="2574"/>
        </w:tabs>
        <w:ind w:left="4275" w:hanging="187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701"/>
          <w:tab w:val="num" w:pos="3174"/>
        </w:tabs>
        <w:ind w:left="4875" w:hanging="18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701"/>
          <w:tab w:val="num" w:pos="3774"/>
        </w:tabs>
        <w:ind w:left="5475" w:hanging="187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701"/>
          <w:tab w:val="num" w:pos="4374"/>
        </w:tabs>
        <w:ind w:left="6075" w:hanging="187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701"/>
          <w:tab w:val="num" w:pos="4974"/>
        </w:tabs>
        <w:ind w:left="6675" w:hanging="18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Überschrift">
    <w:name w:val="Überschrift"/>
    <w:next w:val="Text"/>
    <w:pPr>
      <w:keepNext w:val="1"/>
      <w:keepLines w:val="1"/>
      <w:pageBreakBefore w:val="0"/>
      <w:widowControl w:val="1"/>
      <w:shd w:val="clear" w:color="auto" w:fill="auto"/>
      <w:suppressAutoHyphens w:val="0"/>
      <w:bidi w:val="0"/>
      <w:spacing w:before="240" w:after="16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32"/>
      <w:szCs w:val="32"/>
      <w:u w:val="none" w:color="2e74b5"/>
      <w:vertAlign w:val="baseline"/>
      <w:lang w:val="en-US"/>
      <w14:textOutline>
        <w14:noFill/>
      </w14:textOutline>
      <w14:textFill>
        <w14:solidFill>
          <w14:srgbClr w14:val="2E74B5"/>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Überschrift 2">
    <w:name w:val="Überschrift 2"/>
    <w:next w:val="Text"/>
    <w:pPr>
      <w:keepNext w:val="1"/>
      <w:keepLines w:val="1"/>
      <w:pageBreakBefore w:val="0"/>
      <w:widowControl w:val="1"/>
      <w:shd w:val="clear" w:color="auto" w:fill="auto"/>
      <w:suppressAutoHyphens w:val="0"/>
      <w:bidi w:val="0"/>
      <w:spacing w:before="40" w:after="16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26"/>
      <w:szCs w:val="26"/>
      <w:u w:val="none" w:color="2e74b5"/>
      <w:vertAlign w:val="baseline"/>
      <w:lang w:val="en-US"/>
      <w14:textOutline>
        <w14:noFill/>
      </w14:textOutline>
      <w14:textFill>
        <w14:solidFill>
          <w14:srgbClr w14:val="2E74B5"/>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ierter Stil: 1">
    <w:name w:val="Importierter Stil: 1"/>
    <w:pPr>
      <w:numPr>
        <w:numId w:val="1"/>
      </w:numPr>
    </w:pPr>
  </w:style>
  <w:style w:type="character" w:styleId="Ohne">
    <w:name w:val="Ohne"/>
  </w:style>
  <w:style w:type="character" w:styleId="Hyperlink.0">
    <w:name w:val="Hyperlink.0"/>
    <w:basedOn w:val="Ohne"/>
    <w:next w:val="Hyperlink.0"/>
    <w:rPr>
      <w:outline w:val="0"/>
      <w:color w:val="0563c1"/>
      <w:u w:val="single" w:color="0563c1"/>
      <w14:textFill>
        <w14:solidFill>
          <w14:srgbClr w14:val="0563C1"/>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numbering" w:styleId="Importierter Stil: 2">
    <w:name w:val="Importierter Stil: 2"/>
    <w:pPr>
      <w:numPr>
        <w:numId w:val="3"/>
      </w:numPr>
    </w:pPr>
  </w:style>
  <w:style w:type="numbering" w:styleId="Importierter Stil: 3">
    <w:name w:val="Importierter Stil: 3"/>
    <w:pPr>
      <w:numPr>
        <w:numId w:val="5"/>
      </w:numPr>
    </w:pPr>
  </w:style>
  <w:style w:type="numbering" w:styleId="Importierter Stil: 4">
    <w:name w:val="Importierter Stil: 4"/>
    <w:pPr>
      <w:numPr>
        <w:numId w:val="7"/>
      </w:numPr>
    </w:pPr>
  </w:style>
  <w:style w:type="numbering" w:styleId="Importierter Stil: 5">
    <w:name w:val="Importierter Stil: 5"/>
    <w:pPr>
      <w:numPr>
        <w:numId w:val="9"/>
      </w:numPr>
    </w:pPr>
  </w:style>
  <w:style w:type="numbering" w:styleId="Punkte">
    <w:name w:val="Punkte"/>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